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禧悦府项目</w:t>
      </w:r>
    </w:p>
    <w:p>
      <w:pPr>
        <w:spacing w:line="360" w:lineRule="auto"/>
        <w:jc w:val="center"/>
        <w:rPr>
          <w:rFonts w:ascii="楷体" w:hAnsi="楷体" w:eastAsia="楷体"/>
          <w:b/>
          <w:sz w:val="52"/>
          <w:szCs w:val="48"/>
        </w:rPr>
      </w:pPr>
      <w:r>
        <w:rPr>
          <w:rFonts w:hint="eastAsia" w:ascii="楷体" w:hAnsi="楷体" w:eastAsia="楷体"/>
          <w:b/>
          <w:sz w:val="52"/>
          <w:szCs w:val="48"/>
        </w:rPr>
        <w:t>网媒及朋友圈推广服务采购项目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6</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3</w:t>
      </w:r>
      <w:bookmarkStart w:id="22" w:name="_GoBack"/>
      <w:bookmarkEnd w:id="22"/>
      <w:r>
        <w:rPr>
          <w:rFonts w:hint="eastAsia" w:ascii="楷体" w:hAnsi="楷体" w:eastAsia="楷体" w:cs="宋体"/>
          <w:b/>
          <w:bCs/>
          <w:color w:val="000000"/>
          <w:sz w:val="32"/>
          <w:szCs w:val="32"/>
        </w:rPr>
        <w:t>日</w:t>
      </w:r>
    </w:p>
    <w:p>
      <w:pPr>
        <w:jc w:val="center"/>
        <w:rPr>
          <w:rFonts w:ascii="仿宋_GB2312" w:eastAsia="仿宋_GB2312"/>
        </w:rPr>
      </w:pPr>
    </w:p>
    <w:p>
      <w:pPr>
        <w:pStyle w:val="2"/>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禧悦府项目网媒及朋友圈推广服务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rPr>
        <w:t>禧悦府项目网媒及朋友圈推广服务项目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服务单位需按照招选人要求实现禧悦府项目网媒及朋友圈推广服务项目（包括但不限于）：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rPr>
        <w:t>485,500元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公示时间：2022年6月3日起至2022 年 6月7止。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年6 月 9 日上午9：00起至9:30截止；逾期不予受理。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评审时间：2022年6 月9日10：00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FF0000"/>
          <w:sz w:val="24"/>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采购联系人：黄先生</w:t>
      </w:r>
    </w:p>
    <w:p>
      <w:pPr>
        <w:pStyle w:val="6"/>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联系电话：18126816168</w:t>
      </w:r>
    </w:p>
    <w:p>
      <w:pPr>
        <w:pStyle w:val="6"/>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3</w:t>
      </w:r>
      <w:r>
        <w:rPr>
          <w:rFonts w:hint="eastAsia" w:ascii="仿宋" w:hAnsi="仿宋" w:eastAsia="仿宋" w:cs="仿宋_GB2312"/>
          <w:kern w:val="0"/>
          <w:sz w:val="24"/>
        </w:rPr>
        <w:t>日</w:t>
      </w:r>
      <w:bookmarkStart w:id="2" w:name="_Toc130180842"/>
      <w:bookmarkStart w:id="3" w:name="_Toc130180737"/>
      <w:bookmarkStart w:id="4" w:name="_Toc334797738"/>
      <w:bookmarkStart w:id="5" w:name="_Toc130180923"/>
      <w:bookmarkStart w:id="6" w:name="_Toc238282338"/>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禧悦府项目网媒及朋友圈推广服务项目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4"/>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4"/>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4"/>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竞投总价不得超过人民币肆拾玖万捌仟元整（￥485,500元）；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    年  月   日上午9：00起至9:30截止；逾期不予受理。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ascii="仿宋" w:hAnsi="仿宋" w:eastAsia="仿宋"/>
                <w:szCs w:val="21"/>
              </w:rPr>
            </w:pPr>
            <w:r>
              <w:rPr>
                <w:rFonts w:hint="eastAsia" w:ascii="仿宋" w:hAnsi="仿宋" w:eastAsia="仿宋"/>
                <w:szCs w:val="21"/>
              </w:rPr>
              <w:t>联 系 人：黄先生</w:t>
            </w:r>
          </w:p>
          <w:p>
            <w:pPr>
              <w:spacing w:line="240" w:lineRule="atLeast"/>
              <w:rPr>
                <w:rFonts w:ascii="仿宋" w:hAnsi="仿宋" w:eastAsia="仿宋"/>
                <w:szCs w:val="21"/>
              </w:rPr>
            </w:pPr>
            <w:r>
              <w:rPr>
                <w:rFonts w:hint="eastAsia" w:ascii="仿宋" w:hAnsi="仿宋" w:eastAsia="仿宋"/>
                <w:szCs w:val="21"/>
              </w:rPr>
              <w:t>联系电话：18126816168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禧悦府项目网媒及朋友圈推广的服务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￥485,500元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5"/>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1"/>
        <w:tblW w:w="8978" w:type="dxa"/>
        <w:tblInd w:w="96" w:type="dxa"/>
        <w:tblLayout w:type="autofit"/>
        <w:tblCellMar>
          <w:top w:w="0" w:type="dxa"/>
          <w:left w:w="108" w:type="dxa"/>
          <w:bottom w:w="0" w:type="dxa"/>
          <w:right w:w="108" w:type="dxa"/>
        </w:tblCellMar>
      </w:tblPr>
      <w:tblGrid>
        <w:gridCol w:w="1645"/>
        <w:gridCol w:w="5400"/>
        <w:gridCol w:w="1933"/>
      </w:tblGrid>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媒体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投放资源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网易房产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网易新闻客户端  启动页推送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网易新闻客户端 --信息流大图推送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网易新闻客户端 --文章页通发（除汽车+房产+教育+本地+大事件）大图模式推送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网易首页--楼盘大全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网易房产频道首页--推荐楼盘</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网易原创态度新闻炒作-软文推送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乐居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新浪乐居广州订阅号推送页面头条下</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400x400微信图文01(天)</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搜狐房产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拼房帝小程序端---首页-定向广州焦点图: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拼房帝小程序端---早焦点首页热门楼盘推荐位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房天下</w:t>
            </w:r>
          </w:p>
        </w:tc>
        <w:tc>
          <w:tcPr>
            <w:tcW w:w="540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新品探盘直播栏目及推广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APP/WAP/PC三端资讯内容资源整合推广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就项目详情页全面维护并完善详情页信息，维护项目详情页正向互动点评及论坛宣传推广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安居客</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 xml:space="preserve">PC端--  </w:t>
            </w:r>
            <w:r>
              <w:rPr>
                <w:rStyle w:val="34"/>
                <w:rFonts w:ascii="仿宋" w:hAnsi="仿宋" w:eastAsia="仿宋" w:cs="仿宋"/>
                <w:sz w:val="21"/>
                <w:szCs w:val="21"/>
                <w:lang w:bidi="ar"/>
              </w:rPr>
              <w:t xml:space="preserve">新房  </w:t>
            </w:r>
            <w:r>
              <w:rPr>
                <w:rStyle w:val="35"/>
                <w:rFonts w:ascii="仿宋" w:hAnsi="仿宋" w:eastAsia="仿宋" w:cs="仿宋"/>
                <w:sz w:val="21"/>
                <w:szCs w:val="21"/>
                <w:lang w:bidi="ar"/>
              </w:rPr>
              <w:t>安居客首页、楼盘列表页、热门活动列表页、楼盘详情页等项目展示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云店通---数据导出功能：</w:t>
            </w:r>
            <w:r>
              <w:rPr>
                <w:rStyle w:val="34"/>
                <w:rFonts w:ascii="仿宋" w:hAnsi="仿宋" w:eastAsia="仿宋" w:cs="仿宋"/>
                <w:sz w:val="21"/>
                <w:szCs w:val="21"/>
                <w:lang w:bidi="ar"/>
              </w:rPr>
              <w:t>产品在线期间数据开放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云店通---投放修改功能：</w:t>
            </w:r>
            <w:r>
              <w:rPr>
                <w:rStyle w:val="34"/>
                <w:rFonts w:ascii="仿宋" w:hAnsi="仿宋" w:eastAsia="仿宋" w:cs="仿宋"/>
                <w:sz w:val="21"/>
                <w:szCs w:val="21"/>
                <w:lang w:bidi="ar"/>
              </w:rPr>
              <w:t>新房5个竞品植入投放修改</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线下专车资源：新房看房专车，一对一免费来回接送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VR样板间拍摄及APP端定制单页</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微信朋友圈</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主投新塘，天河，黄埔，数据筛选后投放，图文页卡推广，按项目节点进行投放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Style w:val="35"/>
                <w:rFonts w:ascii="仿宋" w:hAnsi="仿宋" w:eastAsia="仿宋" w:cs="仿宋"/>
                <w:sz w:val="21"/>
                <w:szCs w:val="21"/>
                <w:lang w:bidi="ar"/>
              </w:rPr>
              <w:t>不少于200万次曝光</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4"/>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4"/>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4"/>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4"/>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4"/>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3"/>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3"/>
        <w:spacing w:line="240" w:lineRule="auto"/>
        <w:jc w:val="center"/>
        <w:rPr>
          <w:rFonts w:ascii="仿宋_GB2312" w:hAnsi="宋体" w:eastAsia="仿宋_GB2312" w:cs="宋体"/>
          <w:sz w:val="30"/>
          <w:szCs w:val="30"/>
        </w:rPr>
      </w:pPr>
      <w:bookmarkStart w:id="10" w:name="OLE_LINK3"/>
      <w:bookmarkStart w:id="11" w:name="OLE_LINK2"/>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 xml:space="preserve">项目名称：禧悦府项目网媒及朋友圈推广服务项目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1"/>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1"/>
        <w:tblW w:w="9218" w:type="dxa"/>
        <w:tblInd w:w="93" w:type="dxa"/>
        <w:tblLayout w:type="autofit"/>
        <w:tblCellMar>
          <w:top w:w="0" w:type="dxa"/>
          <w:left w:w="108" w:type="dxa"/>
          <w:bottom w:w="0" w:type="dxa"/>
          <w:right w:w="108" w:type="dxa"/>
        </w:tblCellMar>
      </w:tblPr>
      <w:tblGrid>
        <w:gridCol w:w="1114"/>
        <w:gridCol w:w="933"/>
        <w:gridCol w:w="1181"/>
        <w:gridCol w:w="775"/>
        <w:gridCol w:w="5215"/>
      </w:tblGrid>
      <w:tr>
        <w:tblPrEx>
          <w:tblCellMar>
            <w:top w:w="0" w:type="dxa"/>
            <w:left w:w="108" w:type="dxa"/>
            <w:bottom w:w="0" w:type="dxa"/>
            <w:right w:w="108" w:type="dxa"/>
          </w:tblCellMar>
        </w:tblPrEx>
        <w:trPr>
          <w:trHeight w:val="556"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829"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价格份</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在限价的80%-100%的合理区间内的所有报价中最低价者得50分，次低价者扣2分，以此类推，凡不在合理报价范围内得0分。</w:t>
            </w:r>
          </w:p>
        </w:tc>
      </w:tr>
      <w:tr>
        <w:tblPrEx>
          <w:tblCellMar>
            <w:top w:w="0" w:type="dxa"/>
            <w:left w:w="108" w:type="dxa"/>
            <w:bottom w:w="0" w:type="dxa"/>
            <w:right w:w="108" w:type="dxa"/>
          </w:tblCellMar>
        </w:tblPrEx>
        <w:trPr>
          <w:trHeight w:val="982"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9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公司资信情况良好，服务过同类性质项目，每提供相应合同或中标通知书等相关证明文件获得1分，最高得10分。</w:t>
            </w:r>
          </w:p>
        </w:tc>
      </w:tr>
      <w:tr>
        <w:tblPrEx>
          <w:tblCellMar>
            <w:top w:w="0" w:type="dxa"/>
            <w:left w:w="108" w:type="dxa"/>
            <w:bottom w:w="0" w:type="dxa"/>
            <w:right w:w="108" w:type="dxa"/>
          </w:tblCellMar>
        </w:tblPrEx>
        <w:trPr>
          <w:trHeight w:val="842" w:hRule="atLeast"/>
        </w:trPr>
        <w:tc>
          <w:tcPr>
            <w:tcW w:w="1114" w:type="dxa"/>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933" w:type="dxa"/>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对各项资源的整合程度</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对资源整合有较强的能力 8-10 分</w:t>
            </w:r>
          </w:p>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对资源整合有基本的能力 5-7分</w:t>
            </w:r>
          </w:p>
          <w:p>
            <w:pPr>
              <w:widowControl/>
              <w:numPr>
                <w:ilvl w:val="0"/>
                <w:numId w:val="2"/>
              </w:numPr>
              <w:jc w:val="left"/>
              <w:rPr>
                <w:rFonts w:ascii="仿宋" w:hAnsi="仿宋" w:eastAsia="仿宋" w:cs="宋体"/>
                <w:kern w:val="0"/>
                <w:szCs w:val="21"/>
              </w:rPr>
            </w:pPr>
            <w:r>
              <w:rPr>
                <w:rFonts w:hint="eastAsia" w:ascii="仿宋" w:hAnsi="仿宋" w:eastAsia="仿宋" w:cs="宋体"/>
                <w:kern w:val="0"/>
                <w:szCs w:val="21"/>
              </w:rPr>
              <w:t>对资源整合能力较弱 1-4分</w:t>
            </w:r>
          </w:p>
        </w:tc>
      </w:tr>
      <w:tr>
        <w:tblPrEx>
          <w:tblCellMar>
            <w:top w:w="0" w:type="dxa"/>
            <w:left w:w="108" w:type="dxa"/>
            <w:bottom w:w="0" w:type="dxa"/>
            <w:right w:w="108" w:type="dxa"/>
          </w:tblCellMar>
        </w:tblPrEx>
        <w:trPr>
          <w:trHeight w:val="1376" w:hRule="atLeast"/>
        </w:trPr>
        <w:tc>
          <w:tcPr>
            <w:tcW w:w="1114"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933"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对所整合的资源拥有的优势</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资源方案新颖，内容丰富，符合推广需求 8-10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资源方案内容较多，比较符合推广需求，5-7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资源方案内容中规中矩，基本达到推广需求 3-4 分</w:t>
            </w:r>
          </w:p>
          <w:p>
            <w:pPr>
              <w:widowControl/>
              <w:numPr>
                <w:ilvl w:val="0"/>
                <w:numId w:val="3"/>
              </w:numPr>
              <w:jc w:val="left"/>
              <w:rPr>
                <w:rFonts w:ascii="仿宋" w:hAnsi="仿宋" w:eastAsia="仿宋" w:cs="宋体"/>
                <w:kern w:val="0"/>
                <w:szCs w:val="21"/>
              </w:rPr>
            </w:pPr>
            <w:r>
              <w:rPr>
                <w:rFonts w:hint="eastAsia" w:ascii="仿宋" w:hAnsi="仿宋" w:eastAsia="仿宋" w:cs="宋体"/>
                <w:kern w:val="0"/>
                <w:szCs w:val="21"/>
              </w:rPr>
              <w:t>资源方案较为普通或不全 1-2 分</w:t>
            </w:r>
          </w:p>
        </w:tc>
      </w:tr>
      <w:tr>
        <w:tblPrEx>
          <w:tblCellMar>
            <w:top w:w="0" w:type="dxa"/>
            <w:left w:w="108" w:type="dxa"/>
            <w:bottom w:w="0" w:type="dxa"/>
            <w:right w:w="108" w:type="dxa"/>
          </w:tblCellMar>
        </w:tblPrEx>
        <w:trPr>
          <w:trHeight w:val="1274" w:hRule="atLeast"/>
        </w:trPr>
        <w:tc>
          <w:tcPr>
            <w:tcW w:w="111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93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方案可执行力，以及对技术性支持能力</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方案完善、配备全面、匹配度较高8-10 分</w:t>
            </w:r>
          </w:p>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方案较为完善、配备合理、可操作较性强5-7分</w:t>
            </w:r>
          </w:p>
          <w:p>
            <w:pPr>
              <w:widowControl/>
              <w:numPr>
                <w:ilvl w:val="0"/>
                <w:numId w:val="4"/>
              </w:numPr>
              <w:jc w:val="left"/>
              <w:rPr>
                <w:rFonts w:ascii="仿宋" w:hAnsi="仿宋" w:eastAsia="仿宋" w:cs="宋体"/>
                <w:kern w:val="0"/>
                <w:szCs w:val="21"/>
              </w:rPr>
            </w:pPr>
            <w:r>
              <w:rPr>
                <w:rFonts w:hint="eastAsia" w:ascii="仿宋" w:hAnsi="仿宋" w:eastAsia="仿宋" w:cs="宋体"/>
                <w:kern w:val="0"/>
                <w:szCs w:val="21"/>
              </w:rPr>
              <w:t>方案执行存在一定难度，但通过深化完善最终可实现操作 1-4分</w:t>
            </w:r>
          </w:p>
        </w:tc>
      </w:tr>
      <w:tr>
        <w:tblPrEx>
          <w:tblCellMar>
            <w:top w:w="0" w:type="dxa"/>
            <w:left w:w="108" w:type="dxa"/>
            <w:bottom w:w="0" w:type="dxa"/>
            <w:right w:w="108" w:type="dxa"/>
          </w:tblCellMar>
        </w:tblPrEx>
        <w:trPr>
          <w:trHeight w:val="829" w:hRule="atLeast"/>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具有独家资源优势或可提供其他额外增值服务，根据服务内容给予 0-10 分</w:t>
            </w:r>
          </w:p>
        </w:tc>
      </w:tr>
      <w:tr>
        <w:trPr>
          <w:trHeight w:val="565" w:hRule="atLeast"/>
        </w:trPr>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禧悦府项目</w:t>
      </w:r>
    </w:p>
    <w:p>
      <w:pPr>
        <w:spacing w:line="360" w:lineRule="auto"/>
        <w:jc w:val="center"/>
        <w:rPr>
          <w:b/>
          <w:sz w:val="44"/>
          <w:szCs w:val="44"/>
        </w:rPr>
      </w:pPr>
      <w:r>
        <w:rPr>
          <w:rFonts w:hint="eastAsia"/>
          <w:b/>
          <w:sz w:val="44"/>
          <w:szCs w:val="44"/>
        </w:rPr>
        <w:t>网媒及朋友圈推广服务合同</w:t>
      </w:r>
    </w:p>
    <w:p>
      <w:pPr>
        <w:spacing w:line="360" w:lineRule="auto"/>
        <w:jc w:val="center"/>
        <w:rPr>
          <w:b/>
          <w:sz w:val="44"/>
          <w:szCs w:val="44"/>
        </w:rPr>
      </w:pPr>
      <w:r>
        <w:rPr>
          <w:rFonts w:hint="eastAsia"/>
          <w:b/>
          <w:sz w:val="44"/>
          <w:szCs w:val="44"/>
        </w:rPr>
        <w:t>（范本）</w:t>
      </w: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项目名称：禧悦府项目网媒及朋友圈推广服务项目</w:t>
      </w:r>
    </w:p>
    <w:p>
      <w:pPr>
        <w:pStyle w:val="5"/>
        <w:rPr>
          <w:rFonts w:ascii="仿宋" w:hAnsi="仿宋" w:eastAsia="仿宋"/>
        </w:rPr>
      </w:pPr>
    </w:p>
    <w:p>
      <w:pPr>
        <w:pStyle w:val="5"/>
        <w:spacing w:before="1"/>
        <w:rPr>
          <w:rFonts w:ascii="仿宋" w:hAnsi="仿宋" w:eastAsia="仿宋"/>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第一部分 合同协议书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甲方（广告主）：</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乙方（发布方）：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广告经营资质证书：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依据《中华人民共和国民法典》、《中华人民共和国广告法》及有关法律、法规、规章的规定，甲、乙双方在平等、自愿、协商一致的基础上，签订本合同。</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广告发布清单</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发布范围：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发布广告形式：</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1.3  发布时间范围：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1.4  发布地址和位置：</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1.5  媒体规格和面积：</w:t>
      </w:r>
      <w:r>
        <w:rPr>
          <w:rFonts w:hint="eastAsia" w:ascii="仿宋" w:hAnsi="仿宋" w:eastAsia="仿宋"/>
          <w:strike/>
          <w:color w:val="000000"/>
          <w:sz w:val="28"/>
          <w:szCs w:val="28"/>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1.6  发布数量及限量：</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1.7  其他约定：</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合同价款及付款方式</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2.1本合同约定的含税广告产品发布清单单价表为：_____________。该费用包括但不限于广告发布费、人工费、税费、安装拆卸费、维护费、亮化费用等。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2.2本合同总价款限价人民币         元。</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2.2付款方式：由甲方在广告产品发布清单单价表内选择相应的产品投放，并按选择的总额进行单次合同结算，或多次投放选择产品的总额进行季度/半年度结算。</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 乙方收款账号名称如下，甲方向下述账户支付本合同价款，即视为甲方已履行相应的付款义务：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开户名：</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开户账号：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且此种违约行为在乙方未按照本协议约定和甲方要求及时采取补救措施的（甲方有单方决定权决定是否给予乙方采取补救措施的机会），则在此种情况下甲方有权拒绝支付相应款项且无须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2.4甲方的开票信息</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1）公司名称（一般纳税人）：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2）纳税人编码：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3）开户银行帐号：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4）开户银行名称：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5）地址：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6）电话：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2.5增值税发票的名称为: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其他约定</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文本和效力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4.1本合同一式    份，甲方执     份，乙方执   份，具有同等效力。本合同包括第一部分合同协议书、第二部分通用合同条款以及附件，本合同自双方签署本合同协议书之日起生效。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（以下无《第一部分 合同协议书》之正文）</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（本页为合同签署页，甲乙双方在此签署时，即视为双方均已充分知悉、理解和同意《第一部分 合同协议书》、《第二部分 通用合同条款》及附件之全部内容）</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甲方：                               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法定代表人：                </w:t>
      </w:r>
      <w:r>
        <w:rPr>
          <w:rFonts w:hint="eastAsia" w:ascii="仿宋" w:hAnsi="仿宋" w:eastAsia="仿宋"/>
          <w:color w:val="000000"/>
          <w:sz w:val="28"/>
          <w:szCs w:val="28"/>
        </w:rPr>
        <w:tab/>
      </w:r>
      <w:r>
        <w:rPr>
          <w:rFonts w:hint="eastAsia" w:ascii="仿宋" w:hAnsi="仿宋" w:eastAsia="仿宋"/>
          <w:color w:val="000000"/>
          <w:sz w:val="28"/>
          <w:szCs w:val="28"/>
        </w:rPr>
        <w:t xml:space="preserve">       法定代表人：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委托代理人：                         委托代理人：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签订日期:    年    月    日</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第二部分 通用合同条款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甲乙双方权利义务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甲方享有以下权利并承担以下义务：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1.1.1甲方按照《广告法》的规定向乙方提供必要的文件并承诺其提供的文件真实、合法、有效，不违反法律规定、不损害社会公共利益、不侵犯他人的民事权利。</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1.1.2甲方应当在广告发布日的___   _个工作日前，向乙方提供广告样稿和审批所需的真实性、合法性证明文件</w:t>
      </w:r>
      <w:r>
        <w:rPr>
          <w:rFonts w:hint="eastAsia" w:ascii="仿宋" w:hAnsi="仿宋" w:eastAsia="仿宋"/>
          <w:color w:val="000000" w:themeColor="text1"/>
          <w:sz w:val="28"/>
          <w:szCs w:val="28"/>
          <w14:textFill>
            <w14:solidFill>
              <w14:schemeClr w14:val="tx1"/>
            </w14:solidFill>
          </w14:textFill>
        </w:rPr>
        <w:t>（有指定日期按甲方指定日期发布，没有指定的需要在投放计划对应时间3天内发布）</w:t>
      </w:r>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1.1.3 甲方应按照合同约定的金额、时间、方式支付合同价款。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1.1.4甲方对广告发布内容有确认权及变更权，未经甲方确认，乙方不得擅自发布或变更发布内容。广告发布期内，如甲方需更换广告发布内容的，乙方应予以配合。</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乙方享有以下权利并承担以下义务：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 乙方合法拥有本合同约定媒体的广告发布资格及权利，如因乙方原因导致广告发布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1.2.2乙方应当依法向相关管理部门申请办理相关广告发布许可审批手续（如需）。</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1.2.3乙方应当按照本合同约定的时间及要求发布本合同约定广告。</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1.2.4乙方应当及时维护发布相关广告的相应设施，确保广告发布设施的正常使用和广告内容发布的正常效果。</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1.2.5乙方应甲方要求如实提供广告发布的数据资料。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1.2.6在本合同履行完毕或合同解除时，乙方应当将广告材料或附加物料退还甲方，删除或销毁相关电子数据，且未经甲方事先书面同意不得将广告及/或相关素材提供给第三方。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1.2.7乙方应尽法定审查义务，对不符合法律、法规的广告内容和表现形式，乙方有义务提示甲方进行修改，并对审查结果承担法律责任。因甲方提供虚假证明材料直接造成广告作品侵犯第三方合法权益的，甲方承担全部责任，但乙方明知或应知甲方提供虚假证明材料的除外。</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1.2.8 因乙方广告发布违反政府部门相关规定，受到政府部门相关处罚的，由乙方承担相应责任，由此造成甲方损失的，乙方应当予以赔偿。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1.2.9 乙方在履行本合同过程中形成的任何文案、图片、视频、音频等作品、资料或文件归甲方所有；如形成知识产权的，则归甲方所有。</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1.2.10除甲方所提供的文件外，乙方应当保证其为制作、发布广告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发票条款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合同价款及合同项下各项应支付的费用，已包含乙方为履行此合同按照税收法律法规规定在中华人民共和国境内外所必须缴纳的一切直接或间接税费及规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用作原始会计凭证并受税务机关认可的合法合规的相关凭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违约责任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3.1  甲方未能按本合同的约定向乙方支付相关款项，如非为甲方原因，则甲方无需承担任何责任；如为甲方原因，甲方每迟延一天，则甲方以应付未付金额为基数并按照中国人民银行发布的同期活期存款基准利率向乙方支付违约金；逾期超过30天的，乙方有权解除本合同。</w:t>
      </w:r>
    </w:p>
    <w:p>
      <w:pPr>
        <w:spacing w:line="520" w:lineRule="exact"/>
        <w:rPr>
          <w:rFonts w:ascii="仿宋" w:hAnsi="仿宋" w:eastAsia="仿宋"/>
          <w:color w:val="000000"/>
          <w:sz w:val="28"/>
          <w:szCs w:val="28"/>
        </w:rPr>
      </w:pPr>
      <w:r>
        <w:rPr>
          <w:rFonts w:hint="eastAsia" w:ascii="仿宋" w:hAnsi="仿宋" w:eastAsia="仿宋"/>
          <w:color w:val="000000"/>
          <w:sz w:val="28"/>
          <w:szCs w:val="28"/>
        </w:rPr>
        <w:t>3.2  因乙方原因造成广告无法按期发布的，乙方应承担违约责任，甲方有权选择以下任一方式处理：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（1）甲方有权单方解除本合同，终止本广告的发布，乙方应双倍退还甲方已支付的费用；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（2）继续广告发布，但乙方每迟延一天，按照合同总价的千分之三的标准向甲方支付违约金；迟延超过10天的，甲方有权单方解除本合同，乙方除退还已收取费用外，还应向甲方支付相当于合同总价的 30 %作为违约金。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3.3  乙方未能根据甲方修复通知确定修复期限修复发生故障并影响广告发布效果的广告设施或画面内容的，应按照每条发生故障的广告每日按照合同总价的千分之三的标准向甲方支付违约金，同时应当补足未能正常发布的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3.4  因乙方原因造成发布的广告不符合本合同约定或甲方要求的，包括但不限于广告规格、内容错误、印刷不清、广告曝光量不足等，甲方有权选择以下任一方式处理：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（1）乙方退还相应费用，并支付相当于合同总价的 20 %作为违约金；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（2）乙方于该事项发生或甲方知悉后的第二日按本合同要求免费重新发布广告一次，如本合同约定有广告发布期限的，则发布期限应作相应延长。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3.5  乙方未尽法定的广告审查义务导致发布的广告违法并造成甲方损失的，甲方有权向乙方追究相应赔偿责任。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3.6  合同签订后，乙方未经甲方同意擅自解除本合同的，乙方应当按照本合同总价的20%向甲方支付违约金；如违约金不足以弥补由此造成的甲方损失，乙方应当予以全部赔偿。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3.7  若乙方未履行合同其他义务，且在收到甲方要求纠正违约行为的通知后5日内仍未予纠正的，则甲方有权解除合同，并有权要求乙方按合同总价的20%支付违约金。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因不可抗力或重大社会活动或事件等特殊原因致使广告无法按约定发布的，应由甲乙双方协商解决，必要时，应签订补充协议。</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其他第三方，否则，乙方应向甲方支付违约金人民币【    】元；如违约金不足以弥补甲方遭受的损失的，乙方应予以继续赔偿。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未经甲方书面同意，乙方不得将其在本协议项下的权利和义务转让给任何第三方。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法律适用和争议解决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pPr>
        <w:spacing w:line="520" w:lineRule="exact"/>
        <w:rPr>
          <w:rFonts w:ascii="仿宋" w:hAnsi="仿宋" w:eastAsia="仿宋"/>
          <w:color w:val="000000"/>
          <w:sz w:val="28"/>
          <w:szCs w:val="28"/>
        </w:rPr>
      </w:pPr>
      <w:r>
        <w:rPr>
          <w:rFonts w:hint="eastAsia" w:ascii="仿宋" w:hAnsi="仿宋" w:eastAsia="仿宋"/>
          <w:color w:val="000000"/>
          <w:sz w:val="28"/>
          <w:szCs w:val="28"/>
        </w:rPr>
        <w:t>7.2 在争议解决期间，除争议事项外，各方应在所有方面继续履行本协议。本条有关争议解决的条款应在本协议终止或期满后继续有效。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宣传栏、电视台、广播电台、报纸、杂志、门户网站、自媒体、微博、微信、微信公众号、QQ、抖音、快手、哔哩哔哩、小红书、知乎、论坛、贴吧等传统媒体及/或互联网媒介方式，以及张贴大字报、拉横幅、前往任一方经营场所闹事、实施任何影响或可能影响任一方名誉、商誉、品牌或正常生产经营秩序的行为）来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第八条  本合同附件构成本合同组成部分，与合同正文具有相同法律效力。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第九条  通知和送达</w:t>
      </w:r>
    </w:p>
    <w:p>
      <w:pPr>
        <w:spacing w:line="520" w:lineRule="exact"/>
        <w:rPr>
          <w:rFonts w:ascii="仿宋" w:hAnsi="仿宋" w:eastAsia="仿宋"/>
          <w:color w:val="000000"/>
          <w:sz w:val="28"/>
          <w:szCs w:val="28"/>
        </w:rPr>
      </w:pPr>
      <w:r>
        <w:rPr>
          <w:rFonts w:hint="eastAsia" w:ascii="仿宋" w:hAnsi="仿宋" w:eastAsia="仿宋"/>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9.2 双方确认该等联系地址同样作为人民法院和/或仲裁机构的法律文书（含裁判文书）送达地址，且该约定为独立条款，不受本合同整体或其他条款的效力的影响。</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（以下无《第二部分 通用合同条款》正文）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附件1：投放执行清单</w:t>
      </w:r>
    </w:p>
    <w:tbl>
      <w:tblPr>
        <w:tblStyle w:val="11"/>
        <w:tblW w:w="8978" w:type="dxa"/>
        <w:tblInd w:w="96" w:type="dxa"/>
        <w:tblLayout w:type="autofit"/>
        <w:tblCellMar>
          <w:top w:w="0" w:type="dxa"/>
          <w:left w:w="108" w:type="dxa"/>
          <w:bottom w:w="0" w:type="dxa"/>
          <w:right w:w="108" w:type="dxa"/>
        </w:tblCellMar>
      </w:tblPr>
      <w:tblGrid>
        <w:gridCol w:w="1645"/>
        <w:gridCol w:w="5400"/>
        <w:gridCol w:w="1933"/>
      </w:tblGrid>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媒体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投放资源</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数量</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网易房产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网易新闻客户端  启动页推送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网易新闻客户端 --信息流大图推送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网易新闻客户端 --文章页通发（除汽车+房产+教育+本地+大事件）大图模式推送                                   </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不少于20万次曝光</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网易首页--楼盘大全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网易房产频道首页--推荐楼盘</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网易原创态度新闻炒作-软文推送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乐居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新浪乐居广州订阅号推送页面头条下</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400x400微信图文01(天)</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搜狐房产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拼房帝小程序端---首页-定向广州焦点图: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拼房帝小程序端---早焦点首页热门楼盘推荐位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房天下</w:t>
            </w:r>
          </w:p>
        </w:tc>
        <w:tc>
          <w:tcPr>
            <w:tcW w:w="540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新品探盘直播栏目及推广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1期</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APP/WAP/PC三端资讯内容资源整合推广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就项目详情页全面维护并完善详情页信息，维护项目详情页正向互动点评及论坛宣传推广</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安居客</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 xml:space="preserve">PC端--  </w:t>
            </w:r>
            <w:r>
              <w:rPr>
                <w:rStyle w:val="34"/>
                <w:rFonts w:ascii="仿宋" w:hAnsi="仿宋" w:eastAsia="仿宋" w:cs="仿宋"/>
                <w:sz w:val="21"/>
                <w:szCs w:val="21"/>
                <w:lang w:bidi="ar"/>
              </w:rPr>
              <w:t xml:space="preserve">新房  </w:t>
            </w:r>
            <w:r>
              <w:rPr>
                <w:rStyle w:val="35"/>
                <w:rFonts w:ascii="仿宋" w:hAnsi="仿宋" w:eastAsia="仿宋" w:cs="仿宋"/>
                <w:sz w:val="21"/>
                <w:szCs w:val="21"/>
                <w:lang w:bidi="ar"/>
              </w:rPr>
              <w:t>安居客首页、楼盘列表页、热门活动列表页、楼盘详情页等项目展示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云店通---数据导出功能：</w:t>
            </w:r>
            <w:r>
              <w:rPr>
                <w:rStyle w:val="34"/>
                <w:rFonts w:ascii="仿宋" w:hAnsi="仿宋" w:eastAsia="仿宋" w:cs="仿宋"/>
                <w:sz w:val="21"/>
                <w:szCs w:val="21"/>
                <w:lang w:bidi="ar"/>
              </w:rPr>
              <w:t>产品在线期间数据开放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云店通---投放修改功能：</w:t>
            </w:r>
            <w:r>
              <w:rPr>
                <w:rStyle w:val="34"/>
                <w:rFonts w:ascii="仿宋" w:hAnsi="仿宋" w:eastAsia="仿宋" w:cs="仿宋"/>
                <w:sz w:val="21"/>
                <w:szCs w:val="21"/>
                <w:lang w:bidi="ar"/>
              </w:rPr>
              <w:t>新房5个竞品植入投放修改</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线下专车资源：新房看房专车，一对一免费来回接送</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不少于7天</w:t>
            </w:r>
          </w:p>
        </w:tc>
      </w:tr>
      <w:tr>
        <w:tblPrEx>
          <w:tblCellMar>
            <w:top w:w="0" w:type="dxa"/>
            <w:left w:w="108" w:type="dxa"/>
            <w:bottom w:w="0" w:type="dxa"/>
            <w:right w:w="108" w:type="dxa"/>
          </w:tblCellMar>
        </w:tblPrEx>
        <w:trPr>
          <w:trHeight w:val="90"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VR样板间拍摄及APP端定制单页</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1项</w:t>
            </w:r>
          </w:p>
        </w:tc>
      </w:tr>
      <w:tr>
        <w:tblPrEx>
          <w:tblCellMar>
            <w:top w:w="0" w:type="dxa"/>
            <w:left w:w="108" w:type="dxa"/>
            <w:bottom w:w="0" w:type="dxa"/>
            <w:right w:w="108" w:type="dxa"/>
          </w:tblCellMar>
        </w:tblPrEx>
        <w:trPr>
          <w:trHeight w:val="9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微信朋友圈</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主投新塘，天河，黄埔，数据筛选后投放，图文页卡推广，按项目节点进行投放</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Style w:val="35"/>
                <w:rFonts w:ascii="仿宋" w:hAnsi="仿宋" w:eastAsia="仿宋" w:cs="仿宋"/>
                <w:sz w:val="21"/>
                <w:szCs w:val="21"/>
                <w:lang w:bidi="ar"/>
              </w:rPr>
              <w:t>不少于200万次曝光</w:t>
            </w:r>
          </w:p>
        </w:tc>
      </w:tr>
    </w:tbl>
    <w:p>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（根据投标单位最终应标方案出具）</w:t>
      </w: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
      <w:pPr>
        <w:widowControl/>
        <w:jc w:val="left"/>
        <w:rPr>
          <w:rFonts w:ascii="仿宋" w:hAnsi="仿宋" w:eastAsia="仿宋"/>
        </w:rPr>
      </w:pPr>
      <w:r>
        <w:rPr>
          <w:rFonts w:ascii="仿宋" w:hAnsi="仿宋" w:eastAsia="仿宋"/>
        </w:rPr>
        <w:br w:type="page"/>
      </w:r>
    </w:p>
    <w:p>
      <w:pPr>
        <w:pStyle w:val="3"/>
        <w:spacing w:line="240" w:lineRule="auto"/>
        <w:jc w:val="center"/>
      </w:pPr>
      <w:r>
        <w:rPr>
          <w:rFonts w:hint="eastAsia" w:ascii="仿宋_GB2312" w:hAnsi="宋体" w:eastAsia="仿宋_GB2312" w:cs="宋体"/>
        </w:rPr>
        <w:t>六、竞投文件格式（竞投人提交）</w:t>
      </w:r>
    </w:p>
    <w:p>
      <w:pPr>
        <w:pStyle w:val="3"/>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禧悦府项目网媒及朋友圈推广服务项目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竞投日期：2021年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3"/>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3"/>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7"/>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7"/>
        <w:spacing w:line="300" w:lineRule="auto"/>
        <w:ind w:firstLine="420" w:firstLineChars="200"/>
        <w:rPr>
          <w:rFonts w:ascii="仿宋_GB2312" w:hAnsi="宋体" w:eastAsia="仿宋_GB2312"/>
          <w:color w:val="000000"/>
          <w:sz w:val="21"/>
          <w:szCs w:val="21"/>
        </w:rPr>
      </w:pPr>
    </w:p>
    <w:p>
      <w:pPr>
        <w:pStyle w:val="7"/>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7"/>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3"/>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3"/>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禧悦府项目</w:t>
      </w:r>
      <w:r>
        <w:rPr>
          <w:rFonts w:hint="eastAsia" w:ascii="仿宋_GB2312" w:hAnsi="宋体" w:eastAsia="仿宋_GB2312" w:cs="Tahoma"/>
          <w:kern w:val="28"/>
          <w:szCs w:val="21"/>
        </w:rPr>
        <w:t>网媒及朋友圈推广服务项目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1"/>
        <w:tblW w:w="9557" w:type="dxa"/>
        <w:tblInd w:w="96" w:type="dxa"/>
        <w:tblLayout w:type="autofit"/>
        <w:tblCellMar>
          <w:top w:w="0" w:type="dxa"/>
          <w:left w:w="108" w:type="dxa"/>
          <w:bottom w:w="0" w:type="dxa"/>
          <w:right w:w="108" w:type="dxa"/>
        </w:tblCellMar>
      </w:tblPr>
      <w:tblGrid>
        <w:gridCol w:w="1186"/>
        <w:gridCol w:w="4406"/>
        <w:gridCol w:w="1893"/>
        <w:gridCol w:w="881"/>
        <w:gridCol w:w="1191"/>
      </w:tblGrid>
      <w:tr>
        <w:tblPrEx>
          <w:tblCellMar>
            <w:top w:w="0" w:type="dxa"/>
            <w:left w:w="108" w:type="dxa"/>
            <w:bottom w:w="0" w:type="dxa"/>
            <w:right w:w="108" w:type="dxa"/>
          </w:tblCellMar>
        </w:tblPrEx>
        <w:trPr>
          <w:trHeight w:val="12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媒体</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投放资源</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费用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总费用（万元）</w:t>
            </w:r>
          </w:p>
        </w:tc>
      </w:tr>
      <w:tr>
        <w:tblPrEx>
          <w:tblCellMar>
            <w:top w:w="0" w:type="dxa"/>
            <w:left w:w="108" w:type="dxa"/>
            <w:bottom w:w="0" w:type="dxa"/>
            <w:right w:w="108" w:type="dxa"/>
          </w:tblCellMar>
        </w:tblPrEx>
        <w:trPr>
          <w:trHeight w:val="114"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网易房产    </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网易新闻客户端  启动页推送</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不少于20万次曝光</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14"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网易新闻客户端 --信息流大图推送</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不少于20万次曝光</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29"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网易新闻客户端 --文章页通发（除汽车+房产+教育+本地+大事件）大图模式推送                                   </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不少于20万次曝光</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网易首页--楼盘大全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网易房产频道首页--推荐楼盘</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07"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网易原创态度新闻炒作-软文推送</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1期</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41"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乐居</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广州乐居公众号，一篇原创次条+一篇供稿次条</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1期</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 xml:space="preserve">搜狐房产    </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拼房帝小程序端---首页-定向广州焦点图:</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1期</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拼房帝小程序端---早焦点首页热门楼盘推荐位</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75" w:hRule="atLeast"/>
        </w:trPr>
        <w:tc>
          <w:tcPr>
            <w:tcW w:w="118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房天下</w:t>
            </w:r>
          </w:p>
        </w:tc>
        <w:tc>
          <w:tcPr>
            <w:tcW w:w="440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新品探盘直播栏目及推广</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1期</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75" w:hRule="atLeast"/>
        </w:trPr>
        <w:tc>
          <w:tcPr>
            <w:tcW w:w="1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APP/WAP/PC三端资讯内容资源整合推广</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1项</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rPr>
          <w:trHeight w:val="175" w:hRule="atLeast"/>
        </w:trPr>
        <w:tc>
          <w:tcPr>
            <w:tcW w:w="11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就项目详情页全面维护并完善详情页信息，维护项目详情页正向互动点评及论坛宣传推广</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1项</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29"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安居客</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0"/>
                <w:szCs w:val="20"/>
              </w:rPr>
            </w:pPr>
            <w:r>
              <w:rPr>
                <w:rStyle w:val="36"/>
                <w:rFonts w:hint="default"/>
                <w:lang w:bidi="ar"/>
              </w:rPr>
              <w:t xml:space="preserve">PC端--  </w:t>
            </w:r>
            <w:r>
              <w:rPr>
                <w:rFonts w:hint="eastAsia" w:ascii="等线" w:hAnsi="等线" w:eastAsia="等线" w:cs="等线"/>
                <w:color w:val="000000"/>
                <w:kern w:val="0"/>
                <w:sz w:val="20"/>
                <w:szCs w:val="20"/>
                <w:lang w:bidi="ar"/>
              </w:rPr>
              <w:t xml:space="preserve">新房  </w:t>
            </w:r>
            <w:r>
              <w:rPr>
                <w:rFonts w:hint="eastAsia" w:ascii="等线" w:hAnsi="等线" w:eastAsia="等线" w:cs="等线"/>
                <w:color w:val="000000"/>
                <w:kern w:val="0"/>
                <w:sz w:val="18"/>
                <w:szCs w:val="18"/>
                <w:lang w:bidi="ar"/>
              </w:rPr>
              <w:t>安居客首页、楼盘列表页、热门活动列表页、楼盘详情页等项目展示</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0"/>
                <w:szCs w:val="20"/>
              </w:rPr>
            </w:pPr>
            <w:r>
              <w:rPr>
                <w:rStyle w:val="36"/>
                <w:rFonts w:hint="default"/>
                <w:lang w:bidi="ar"/>
              </w:rPr>
              <w:t>云店通---数据导出功能：</w:t>
            </w:r>
            <w:r>
              <w:rPr>
                <w:rFonts w:hint="eastAsia" w:ascii="等线" w:hAnsi="等线" w:eastAsia="等线" w:cs="等线"/>
                <w:color w:val="000000"/>
                <w:kern w:val="0"/>
                <w:sz w:val="20"/>
                <w:szCs w:val="20"/>
                <w:lang w:bidi="ar"/>
              </w:rPr>
              <w:t>产品在线期间数据开放</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29"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0"/>
                <w:szCs w:val="20"/>
              </w:rPr>
            </w:pPr>
            <w:r>
              <w:rPr>
                <w:rStyle w:val="36"/>
                <w:rFonts w:hint="default"/>
                <w:lang w:bidi="ar"/>
              </w:rPr>
              <w:t>云店通---投放修改功能：</w:t>
            </w:r>
            <w:r>
              <w:rPr>
                <w:rFonts w:hint="eastAsia" w:ascii="等线" w:hAnsi="等线" w:eastAsia="等线" w:cs="等线"/>
                <w:color w:val="000000"/>
                <w:kern w:val="0"/>
                <w:sz w:val="20"/>
                <w:szCs w:val="20"/>
                <w:lang w:bidi="ar"/>
              </w:rPr>
              <w:t>新房5个竞品植入投放修改</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29"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线下专车资源：新房看房专车，一对一免费来回接送</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不少于7天</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rPr>
          <w:trHeight w:val="112"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2"/>
                <w:szCs w:val="22"/>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VR样板间拍摄及APP端定制单页</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1项</w:t>
            </w: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29"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微信朋友圈</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主投新塘，天河，黄埔，数据筛选后投放，图文页卡推广，按项目节点进行投放</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不少于200万次曝光</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trHeight w:val="116"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备注</w:t>
            </w:r>
          </w:p>
        </w:tc>
        <w:tc>
          <w:tcPr>
            <w:tcW w:w="83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lang w:bidi="ar"/>
              </w:rPr>
              <w:t>以上投放渠道如有额外附带增值服务及推广方式可再作补充。</w:t>
            </w:r>
          </w:p>
        </w:tc>
      </w:tr>
    </w:tbl>
    <w:p>
      <w:pPr>
        <w:spacing w:line="360" w:lineRule="auto"/>
        <w:ind w:left="617" w:hanging="617" w:hangingChars="294"/>
        <w:jc w:val="left"/>
        <w:rPr>
          <w:rFonts w:ascii="仿宋_GB2312" w:hAnsi="仿宋_GB2312" w:eastAsia="仿宋_GB2312" w:cs="仿宋_GB2312"/>
          <w:szCs w:val="21"/>
        </w:rPr>
      </w:pP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3"/>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334797776"/>
      <w:bookmarkStart w:id="14" w:name="_Toc245819142"/>
      <w:bookmarkStart w:id="15" w:name="_Toc228644985"/>
      <w:bookmarkStart w:id="16" w:name="_Toc238282344"/>
      <w:bookmarkStart w:id="17" w:name="_Toc228899514"/>
      <w:bookmarkStart w:id="18" w:name="_Toc224435734"/>
      <w:bookmarkStart w:id="19" w:name="_Toc42951056"/>
      <w:bookmarkStart w:id="20" w:name="_Toc223939114"/>
      <w:bookmarkStart w:id="21" w:name="_Toc225565960"/>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4B1C5"/>
    <w:multiLevelType w:val="singleLevel"/>
    <w:tmpl w:val="82D4B1C5"/>
    <w:lvl w:ilvl="0" w:tentative="0">
      <w:start w:val="1"/>
      <w:numFmt w:val="decimal"/>
      <w:lvlText w:val="%1."/>
      <w:lvlJc w:val="left"/>
      <w:pPr>
        <w:ind w:left="425" w:hanging="425"/>
      </w:pPr>
      <w:rPr>
        <w:rFonts w:hint="default"/>
      </w:rPr>
    </w:lvl>
  </w:abstractNum>
  <w:abstractNum w:abstractNumId="1">
    <w:nsid w:val="BE6EF9B6"/>
    <w:multiLevelType w:val="singleLevel"/>
    <w:tmpl w:val="BE6EF9B6"/>
    <w:lvl w:ilvl="0" w:tentative="0">
      <w:start w:val="1"/>
      <w:numFmt w:val="decimal"/>
      <w:suff w:val="nothing"/>
      <w:lvlText w:val="%1、"/>
      <w:lvlJc w:val="left"/>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61F9410C"/>
    <w:multiLevelType w:val="singleLevel"/>
    <w:tmpl w:val="61F9410C"/>
    <w:lvl w:ilvl="0" w:tentative="0">
      <w:start w:val="1"/>
      <w:numFmt w:val="decimal"/>
      <w:lvlText w:val="%1."/>
      <w:lvlJc w:val="left"/>
      <w:pPr>
        <w:ind w:left="425" w:hanging="425"/>
      </w:pPr>
      <w:rPr>
        <w:rFonts w:hint="default"/>
      </w:rPr>
    </w:lvl>
  </w:abstractNum>
  <w:abstractNum w:abstractNumId="4">
    <w:nsid w:val="70806638"/>
    <w:multiLevelType w:val="singleLevel"/>
    <w:tmpl w:val="70806638"/>
    <w:lvl w:ilvl="0" w:tentative="0">
      <w:start w:val="1"/>
      <w:numFmt w:val="decimal"/>
      <w:lvlText w:val="%1."/>
      <w:lvlJc w:val="left"/>
      <w:pPr>
        <w:ind w:left="425" w:hanging="425"/>
      </w:pPr>
      <w:rPr>
        <w:rFonts w:hint="default"/>
      </w:rPr>
    </w:lvl>
  </w:abstractNum>
  <w:abstractNum w:abstractNumId="5">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33F48"/>
    <w:rsid w:val="00073D41"/>
    <w:rsid w:val="002270D0"/>
    <w:rsid w:val="00276EBF"/>
    <w:rsid w:val="00343F5C"/>
    <w:rsid w:val="003C7F1E"/>
    <w:rsid w:val="003E53D5"/>
    <w:rsid w:val="003F3EAC"/>
    <w:rsid w:val="004521B7"/>
    <w:rsid w:val="00556797"/>
    <w:rsid w:val="005D6334"/>
    <w:rsid w:val="005E73A7"/>
    <w:rsid w:val="00612376"/>
    <w:rsid w:val="00616977"/>
    <w:rsid w:val="006F46AA"/>
    <w:rsid w:val="0072258B"/>
    <w:rsid w:val="00770BB7"/>
    <w:rsid w:val="0077736E"/>
    <w:rsid w:val="007870CE"/>
    <w:rsid w:val="00797F8E"/>
    <w:rsid w:val="007A74E0"/>
    <w:rsid w:val="007C3A13"/>
    <w:rsid w:val="009726F2"/>
    <w:rsid w:val="00995D25"/>
    <w:rsid w:val="009B3457"/>
    <w:rsid w:val="00A310AB"/>
    <w:rsid w:val="00A7327B"/>
    <w:rsid w:val="00A84E79"/>
    <w:rsid w:val="00AA5458"/>
    <w:rsid w:val="00AD11B0"/>
    <w:rsid w:val="00AD65BD"/>
    <w:rsid w:val="00CA39FE"/>
    <w:rsid w:val="00CC1E84"/>
    <w:rsid w:val="00CC794A"/>
    <w:rsid w:val="00D419D7"/>
    <w:rsid w:val="00E2550B"/>
    <w:rsid w:val="00E52182"/>
    <w:rsid w:val="00EC6A86"/>
    <w:rsid w:val="046A5530"/>
    <w:rsid w:val="0CC85974"/>
    <w:rsid w:val="0D420839"/>
    <w:rsid w:val="14462D84"/>
    <w:rsid w:val="1EEF4F06"/>
    <w:rsid w:val="21486D09"/>
    <w:rsid w:val="21681C9D"/>
    <w:rsid w:val="23CA2C9B"/>
    <w:rsid w:val="28014C3F"/>
    <w:rsid w:val="3732195D"/>
    <w:rsid w:val="38D95ED0"/>
    <w:rsid w:val="3E892BF7"/>
    <w:rsid w:val="4497022A"/>
    <w:rsid w:val="44DE3F75"/>
    <w:rsid w:val="480B71C9"/>
    <w:rsid w:val="4E2375DE"/>
    <w:rsid w:val="677D186B"/>
    <w:rsid w:val="6B0C3803"/>
    <w:rsid w:val="719A1802"/>
    <w:rsid w:val="75033D8C"/>
    <w:rsid w:val="775A3168"/>
    <w:rsid w:val="7A8376CE"/>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rPr>
      <w:rFonts w:asciiTheme="minorHAnsi" w:hAnsiTheme="minorHAnsi" w:cstheme="minorBidi"/>
    </w:rPr>
  </w:style>
  <w:style w:type="paragraph" w:styleId="5">
    <w:name w:val="Body Text"/>
    <w:basedOn w:val="1"/>
    <w:link w:val="29"/>
    <w:unhideWhenUsed/>
    <w:qFormat/>
    <w:uiPriority w:val="99"/>
    <w:pPr>
      <w:spacing w:after="120"/>
    </w:pPr>
  </w:style>
  <w:style w:type="paragraph" w:styleId="6">
    <w:name w:val="Body Text Indent"/>
    <w:basedOn w:val="1"/>
    <w:link w:val="20"/>
    <w:qFormat/>
    <w:uiPriority w:val="0"/>
    <w:pPr>
      <w:ind w:firstLine="570"/>
    </w:pPr>
    <w:rPr>
      <w:rFonts w:ascii="宋体" w:hAnsi="宋体" w:cstheme="minorBidi"/>
      <w:sz w:val="28"/>
      <w:szCs w:val="22"/>
    </w:rPr>
  </w:style>
  <w:style w:type="paragraph" w:styleId="7">
    <w:name w:val="Plain Text"/>
    <w:basedOn w:val="1"/>
    <w:link w:val="19"/>
    <w:qFormat/>
    <w:uiPriority w:val="0"/>
    <w:pPr>
      <w:spacing w:line="360" w:lineRule="auto"/>
      <w:ind w:firstLine="510"/>
    </w:pPr>
    <w:rPr>
      <w:rFonts w:ascii="宋体" w:hAnsi="Courier New" w:cstheme="minorBidi"/>
      <w:sz w:val="24"/>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bCs/>
      <w:sz w:val="32"/>
      <w:szCs w:val="32"/>
    </w:rPr>
  </w:style>
  <w:style w:type="character" w:customStyle="1" w:styleId="18">
    <w:name w:val="批注文字 字符"/>
    <w:link w:val="4"/>
    <w:semiHidden/>
    <w:qFormat/>
    <w:uiPriority w:val="0"/>
    <w:rPr>
      <w:rFonts w:eastAsia="宋体"/>
      <w:szCs w:val="24"/>
    </w:rPr>
  </w:style>
  <w:style w:type="character" w:customStyle="1" w:styleId="19">
    <w:name w:val="纯文本 字符"/>
    <w:link w:val="7"/>
    <w:qFormat/>
    <w:uiPriority w:val="0"/>
    <w:rPr>
      <w:rFonts w:ascii="宋体" w:hAnsi="Courier New" w:eastAsia="宋体"/>
      <w:sz w:val="24"/>
    </w:rPr>
  </w:style>
  <w:style w:type="character" w:customStyle="1" w:styleId="20">
    <w:name w:val="正文文本缩进 字符"/>
    <w:link w:val="6"/>
    <w:qFormat/>
    <w:uiPriority w:val="0"/>
    <w:rPr>
      <w:rFonts w:ascii="宋体" w:hAnsi="宋体" w:eastAsia="宋体"/>
      <w:sz w:val="28"/>
    </w:rPr>
  </w:style>
  <w:style w:type="character" w:customStyle="1" w:styleId="21">
    <w:name w:val="批注文字 Char1"/>
    <w:basedOn w:val="12"/>
    <w:semiHidden/>
    <w:qFormat/>
    <w:uiPriority w:val="99"/>
    <w:rPr>
      <w:rFonts w:ascii="Times New Roman" w:hAnsi="Times New Roman" w:eastAsia="宋体" w:cs="Times New Roman"/>
      <w:szCs w:val="24"/>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正文文本缩进 Char1"/>
    <w:basedOn w:val="12"/>
    <w:semiHidden/>
    <w:qFormat/>
    <w:uiPriority w:val="99"/>
    <w:rPr>
      <w:rFonts w:ascii="Times New Roman" w:hAnsi="Times New Roman" w:eastAsia="宋体" w:cs="Times New Roman"/>
      <w:szCs w:val="24"/>
    </w:rPr>
  </w:style>
  <w:style w:type="paragraph" w:customStyle="1" w:styleId="24">
    <w:name w:val="彩色列表1"/>
    <w:basedOn w:val="1"/>
    <w:qFormat/>
    <w:uiPriority w:val="34"/>
    <w:pPr>
      <w:ind w:firstLine="420" w:firstLineChars="200"/>
    </w:pPr>
    <w:rPr>
      <w:rFonts w:ascii="Calibri" w:hAnsi="Calibri"/>
      <w:szCs w:val="22"/>
    </w:rPr>
  </w:style>
  <w:style w:type="paragraph" w:customStyle="1" w:styleId="25">
    <w:name w:val="正文_0_0"/>
    <w:qFormat/>
    <w:uiPriority w:val="0"/>
    <w:rPr>
      <w:rFonts w:ascii="Times New Roman" w:hAnsi="Times New Roman" w:eastAsia="宋体" w:cs="Times New Roman"/>
      <w:sz w:val="21"/>
      <w:lang w:val="en-US" w:eastAsia="zh-CN" w:bidi="ar-SA"/>
    </w:rPr>
  </w:style>
  <w:style w:type="paragraph" w:customStyle="1" w:styleId="26">
    <w:name w:val="列出段落1"/>
    <w:basedOn w:val="1"/>
    <w:qFormat/>
    <w:uiPriority w:val="1"/>
    <w:pPr>
      <w:ind w:firstLine="420" w:firstLineChars="200"/>
    </w:pPr>
  </w:style>
  <w:style w:type="paragraph" w:styleId="27">
    <w:name w:val="List Paragraph"/>
    <w:basedOn w:val="1"/>
    <w:qFormat/>
    <w:uiPriority w:val="1"/>
    <w:pPr>
      <w:ind w:firstLine="420" w:firstLineChars="200"/>
    </w:pPr>
    <w:rPr>
      <w:rFonts w:ascii="Calibri" w:hAnsi="Calibri"/>
      <w:szCs w:val="22"/>
    </w:rPr>
  </w:style>
  <w:style w:type="paragraph" w:customStyle="1" w:styleId="28">
    <w:name w:val="样式1"/>
    <w:basedOn w:val="1"/>
    <w:qFormat/>
    <w:uiPriority w:val="0"/>
    <w:pPr>
      <w:tabs>
        <w:tab w:val="left" w:pos="709"/>
      </w:tabs>
      <w:ind w:left="784" w:hanging="360"/>
    </w:pPr>
    <w:rPr>
      <w:rFonts w:ascii="宋体" w:hAnsi="宋体" w:eastAsia="楷体_GB2312"/>
      <w:sz w:val="26"/>
      <w:szCs w:val="20"/>
    </w:rPr>
  </w:style>
  <w:style w:type="character" w:customStyle="1" w:styleId="29">
    <w:name w:val="正文文本 字符"/>
    <w:basedOn w:val="12"/>
    <w:link w:val="5"/>
    <w:semiHidden/>
    <w:qFormat/>
    <w:uiPriority w:val="99"/>
    <w:rPr>
      <w:rFonts w:ascii="Times New Roman" w:hAnsi="Times New Roman" w:eastAsia="宋体" w:cs="Times New Roman"/>
      <w:szCs w:val="24"/>
    </w:rPr>
  </w:style>
  <w:style w:type="character" w:customStyle="1" w:styleId="30">
    <w:name w:val="批注框文本 字符"/>
    <w:basedOn w:val="12"/>
    <w:link w:val="8"/>
    <w:semiHidden/>
    <w:qFormat/>
    <w:uiPriority w:val="99"/>
    <w:rPr>
      <w:rFonts w:ascii="Times New Roman" w:hAnsi="Times New Roman" w:eastAsia="宋体" w:cs="Times New Roman"/>
      <w:sz w:val="18"/>
      <w:szCs w:val="18"/>
    </w:rPr>
  </w:style>
  <w:style w:type="character" w:customStyle="1" w:styleId="31">
    <w:name w:val="font51"/>
    <w:basedOn w:val="12"/>
    <w:qFormat/>
    <w:uiPriority w:val="0"/>
    <w:rPr>
      <w:rFonts w:hint="eastAsia" w:ascii="等线" w:hAnsi="等线" w:eastAsia="等线" w:cs="等线"/>
      <w:b/>
      <w:bCs/>
      <w:color w:val="000000"/>
      <w:sz w:val="20"/>
      <w:szCs w:val="20"/>
      <w:u w:val="none"/>
    </w:rPr>
  </w:style>
  <w:style w:type="character" w:customStyle="1" w:styleId="32">
    <w:name w:val="font31"/>
    <w:basedOn w:val="12"/>
    <w:qFormat/>
    <w:uiPriority w:val="0"/>
    <w:rPr>
      <w:rFonts w:hint="eastAsia" w:ascii="等线" w:hAnsi="等线" w:eastAsia="等线" w:cs="等线"/>
      <w:color w:val="000000"/>
      <w:sz w:val="20"/>
      <w:szCs w:val="20"/>
      <w:u w:val="none"/>
    </w:rPr>
  </w:style>
  <w:style w:type="character" w:customStyle="1" w:styleId="33">
    <w:name w:val="font21"/>
    <w:basedOn w:val="12"/>
    <w:qFormat/>
    <w:uiPriority w:val="0"/>
    <w:rPr>
      <w:rFonts w:hint="eastAsia" w:ascii="等线" w:hAnsi="等线" w:eastAsia="等线" w:cs="等线"/>
      <w:color w:val="000000"/>
      <w:sz w:val="18"/>
      <w:szCs w:val="18"/>
      <w:u w:val="none"/>
    </w:rPr>
  </w:style>
  <w:style w:type="character" w:customStyle="1" w:styleId="34">
    <w:name w:val="font41"/>
    <w:basedOn w:val="12"/>
    <w:qFormat/>
    <w:uiPriority w:val="0"/>
    <w:rPr>
      <w:rFonts w:hint="eastAsia" w:ascii="等线" w:hAnsi="等线" w:eastAsia="等线" w:cs="等线"/>
      <w:color w:val="000000"/>
      <w:sz w:val="20"/>
      <w:szCs w:val="20"/>
      <w:u w:val="none"/>
    </w:rPr>
  </w:style>
  <w:style w:type="character" w:customStyle="1" w:styleId="35">
    <w:name w:val="font01"/>
    <w:basedOn w:val="12"/>
    <w:qFormat/>
    <w:uiPriority w:val="0"/>
    <w:rPr>
      <w:rFonts w:hint="eastAsia" w:ascii="等线" w:hAnsi="等线" w:eastAsia="等线" w:cs="等线"/>
      <w:color w:val="000000"/>
      <w:sz w:val="18"/>
      <w:szCs w:val="18"/>
      <w:u w:val="none"/>
    </w:rPr>
  </w:style>
  <w:style w:type="character" w:customStyle="1" w:styleId="36">
    <w:name w:val="font11"/>
    <w:basedOn w:val="12"/>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12572</Words>
  <Characters>13052</Characters>
  <Lines>110</Lines>
  <Paragraphs>31</Paragraphs>
  <TotalTime>20</TotalTime>
  <ScaleCrop>false</ScaleCrop>
  <LinksUpToDate>false</LinksUpToDate>
  <CharactersWithSpaces>14713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2022-06-02T12:09:43Z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AE9FF95562964CFE9ED202554FA25F07</vt:lpwstr>
  </property>
</Properties>
</file>