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lang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lang w:eastAsia="zh-CN"/>
          <w14:shadow w14:blurRad="50800" w14:dist="38100" w14:dir="2700000" w14:sx="100000" w14:sy="100000" w14:kx="0" w14:ky="0" w14:algn="tl">
            <w14:srgbClr w14:val="000000">
              <w14:alpha w14:val="60000"/>
            </w14:srgbClr>
          </w14:shadow>
        </w:rPr>
        <w:t>城隽雅苑北区办公物资采购服务项目</w:t>
      </w: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广州市城壹房地产顾问有限公司</w:t>
      </w:r>
    </w:p>
    <w:p>
      <w:pPr>
        <w:spacing w:line="400" w:lineRule="exact"/>
        <w:jc w:val="center"/>
        <w:rPr>
          <w:rFonts w:ascii="楷体" w:hAnsi="楷体" w:eastAsia="楷体" w:cs="宋体"/>
          <w:b/>
          <w:bCs/>
          <w:sz w:val="36"/>
          <w:szCs w:val="36"/>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2022年</w:t>
      </w:r>
      <w:r>
        <w:rPr>
          <w:rFonts w:ascii="楷体" w:hAnsi="楷体" w:eastAsia="楷体" w:cs="宋体"/>
          <w:b/>
          <w:bCs/>
          <w:sz w:val="32"/>
          <w:szCs w:val="32"/>
          <w:u w:val="single"/>
        </w:rPr>
        <w:t xml:space="preserve"> </w:t>
      </w:r>
      <w:r>
        <w:rPr>
          <w:rFonts w:hint="eastAsia" w:ascii="楷体" w:hAnsi="楷体" w:eastAsia="楷体" w:cs="宋体"/>
          <w:b/>
          <w:bCs/>
          <w:sz w:val="32"/>
          <w:szCs w:val="32"/>
          <w:u w:val="single"/>
          <w:lang w:val="en-US" w:eastAsia="zh-CN"/>
        </w:rPr>
        <w:t>9</w:t>
      </w:r>
      <w:r>
        <w:rPr>
          <w:rFonts w:hint="eastAsia" w:ascii="楷体" w:hAnsi="楷体" w:eastAsia="楷体" w:cs="宋体"/>
          <w:b/>
          <w:bCs/>
          <w:sz w:val="32"/>
          <w:szCs w:val="32"/>
        </w:rPr>
        <w:t>月</w:t>
      </w:r>
      <w:r>
        <w:rPr>
          <w:rFonts w:ascii="楷体" w:hAnsi="楷体" w:eastAsia="楷体" w:cs="宋体"/>
          <w:b/>
          <w:bCs/>
          <w:sz w:val="32"/>
          <w:szCs w:val="32"/>
          <w:u w:val="single"/>
        </w:rPr>
        <w:t xml:space="preserve"> </w:t>
      </w:r>
      <w:r>
        <w:rPr>
          <w:rFonts w:hint="eastAsia" w:ascii="楷体" w:hAnsi="楷体" w:eastAsia="楷体" w:cs="宋体"/>
          <w:b/>
          <w:bCs/>
          <w:sz w:val="32"/>
          <w:szCs w:val="32"/>
          <w:u w:val="single"/>
          <w:lang w:val="en-US" w:eastAsia="zh-CN"/>
        </w:rPr>
        <w:t>26</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2"/>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hint="eastAsia" w:ascii="仿宋_GB2312" w:hAnsi="宋体" w:eastAsia="仿宋_GB2312" w:cs="宋体"/>
          <w:b/>
          <w:bCs/>
          <w:spacing w:val="20"/>
          <w:kern w:val="44"/>
          <w:sz w:val="32"/>
          <w:szCs w:val="32"/>
          <w:lang w:eastAsia="zh-CN"/>
        </w:rPr>
      </w:pPr>
      <w:r>
        <w:rPr>
          <w:rFonts w:hint="eastAsia" w:ascii="仿宋_GB2312" w:hAnsi="宋体" w:eastAsia="仿宋_GB2312" w:cs="宋体"/>
          <w:b/>
          <w:bCs/>
          <w:spacing w:val="20"/>
          <w:kern w:val="44"/>
          <w:sz w:val="32"/>
          <w:szCs w:val="32"/>
          <w:lang w:eastAsia="zh-CN"/>
        </w:rPr>
        <w:t>城隽雅苑北区办公物资采购服务项目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ind w:firstLine="480" w:firstLineChars="200"/>
        <w:rPr>
          <w:rFonts w:ascii="仿宋_GB2312" w:hAnsi="仿宋_GB2312" w:eastAsia="仿宋_GB2312" w:cs="仿宋_GB2312"/>
          <w:sz w:val="24"/>
          <w:szCs w:val="24"/>
        </w:rPr>
      </w:pPr>
      <w:bookmarkStart w:id="1" w:name="_Hlk111890027"/>
      <w:r>
        <w:rPr>
          <w:rFonts w:hint="eastAsia" w:ascii="仿宋_GB2312" w:hAnsi="仿宋_GB2312" w:eastAsia="仿宋_GB2312" w:cs="仿宋_GB2312"/>
          <w:sz w:val="24"/>
          <w:szCs w:val="24"/>
        </w:rPr>
        <w:t>根据有关法律法规及相关采购管理规定，本着公平、公正、公开原则，拟对</w:t>
      </w:r>
      <w:bookmarkStart w:id="2" w:name="_Hlk111890068"/>
      <w:r>
        <w:rPr>
          <w:rFonts w:hint="eastAsia" w:ascii="仿宋_GB2312" w:hAnsi="仿宋_GB2312" w:eastAsia="仿宋_GB2312" w:cs="仿宋_GB2312"/>
          <w:sz w:val="24"/>
          <w:szCs w:val="24"/>
        </w:rPr>
        <w:t>城隽雅苑北区办公</w:t>
      </w:r>
      <w:r>
        <w:rPr>
          <w:rFonts w:hint="eastAsia" w:ascii="仿宋_GB2312" w:hAnsi="仿宋_GB2312" w:eastAsia="仿宋_GB2312" w:cs="仿宋_GB2312"/>
          <w:sz w:val="24"/>
          <w:szCs w:val="24"/>
          <w:lang w:eastAsia="zh-CN"/>
        </w:rPr>
        <w:t>物资</w:t>
      </w:r>
      <w:r>
        <w:rPr>
          <w:rFonts w:hint="eastAsia" w:ascii="仿宋_GB2312" w:hAnsi="仿宋_GB2312" w:eastAsia="仿宋_GB2312" w:cs="仿宋_GB2312"/>
          <w:sz w:val="24"/>
          <w:szCs w:val="24"/>
        </w:rPr>
        <w:t>采购服务采购项目</w:t>
      </w:r>
      <w:bookmarkEnd w:id="2"/>
      <w:r>
        <w:rPr>
          <w:rFonts w:hint="eastAsia" w:ascii="仿宋_GB2312" w:hAnsi="仿宋_GB2312" w:eastAsia="仿宋_GB2312" w:cs="仿宋_GB2312"/>
          <w:sz w:val="24"/>
          <w:szCs w:val="24"/>
        </w:rPr>
        <w:t>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bookmarkEnd w:id="1"/>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lang w:eastAsia="zh-CN"/>
        </w:rPr>
        <w:t>城隽雅苑北区办公物资采购服务项目</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（二）项目内容：针对城隽雅苑办公</w:t>
      </w:r>
      <w:r>
        <w:rPr>
          <w:rFonts w:hint="eastAsia" w:ascii="仿宋_GB2312" w:hAnsi="仿宋_GB2312" w:eastAsia="仿宋_GB2312" w:cs="仿宋_GB2312"/>
          <w:sz w:val="24"/>
          <w:szCs w:val="24"/>
          <w:lang w:eastAsia="zh-CN"/>
        </w:rPr>
        <w:t>物资</w:t>
      </w:r>
      <w:r>
        <w:rPr>
          <w:rFonts w:hint="eastAsia" w:ascii="仿宋_GB2312" w:hAnsi="仿宋_GB2312" w:eastAsia="仿宋_GB2312" w:cs="仿宋_GB2312"/>
          <w:sz w:val="24"/>
          <w:szCs w:val="24"/>
        </w:rPr>
        <w:t>采购服务，项目采购内容为办公文具、台式电脑、电脑显示屏、笔记本电脑、电视机、保险箱等，需包含安装、日常维护以及维修服务等，具体内容详见清单</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（三）项目地点：广州市番禺区新造镇城隽雅苑北区销售中心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（四）项目限价：</w:t>
      </w:r>
      <w:bookmarkStart w:id="3" w:name="_Hlk112146153"/>
      <w:r>
        <w:rPr>
          <w:rFonts w:hint="eastAsia" w:ascii="仿宋_GB2312" w:hAnsi="仿宋_GB2312" w:eastAsia="仿宋_GB2312" w:cs="仿宋_GB2312"/>
          <w:sz w:val="24"/>
          <w:szCs w:val="24"/>
          <w:lang w:val="en-US" w:eastAsia="zh-CN"/>
        </w:rPr>
        <w:t>274255</w:t>
      </w:r>
      <w:r>
        <w:rPr>
          <w:rFonts w:hint="eastAsia" w:ascii="仿宋_GB2312" w:hAnsi="仿宋_GB2312" w:eastAsia="仿宋_GB2312" w:cs="仿宋_GB2312"/>
          <w:sz w:val="24"/>
          <w:szCs w:val="24"/>
        </w:rPr>
        <w:t>元人民币</w:t>
      </w:r>
      <w:bookmarkEnd w:id="3"/>
      <w:r>
        <w:rPr>
          <w:rFonts w:hint="eastAsia" w:ascii="仿宋_GB2312" w:hAnsi="仿宋_GB2312" w:eastAsia="仿宋_GB2312" w:cs="仿宋_GB2312"/>
          <w:sz w:val="24"/>
          <w:szCs w:val="24"/>
        </w:rPr>
        <w:t>（含税）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（五）本项目设置合理报价区间为[项目限价*80%，项目限价]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）竞投人</w:t>
      </w:r>
      <w:r>
        <w:rPr>
          <w:rFonts w:hint="eastAsia" w:ascii="仿宋_GB2312" w:hAnsi="仿宋_GB2312" w:eastAsia="仿宋_GB2312" w:cs="仿宋_GB2312"/>
          <w:sz w:val="24"/>
          <w:szCs w:val="24"/>
          <w:lang w:val="en-US" w:eastAsia="zh-CN"/>
        </w:rPr>
        <w:t>未按时报名的，则不进入下轮评选环节</w:t>
      </w:r>
      <w:r>
        <w:rPr>
          <w:rFonts w:hint="eastAsia" w:ascii="仿宋_GB2312" w:hAnsi="仿宋_GB2312" w:eastAsia="仿宋_GB2312" w:cs="仿宋_GB2312"/>
          <w:sz w:val="24"/>
          <w:szCs w:val="24"/>
        </w:rPr>
        <w:t>。</w:t>
      </w:r>
    </w:p>
    <w:p>
      <w:pPr>
        <w:spacing w:line="400" w:lineRule="exact"/>
        <w:rPr>
          <w:rFonts w:hint="eastAsia"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（二）城隽雅苑北区办公</w:t>
      </w:r>
      <w:r>
        <w:rPr>
          <w:rFonts w:hint="eastAsia" w:ascii="仿宋_GB2312" w:hAnsi="仿宋_GB2312" w:eastAsia="仿宋_GB2312" w:cs="仿宋_GB2312"/>
          <w:sz w:val="24"/>
          <w:szCs w:val="24"/>
          <w:lang w:eastAsia="zh-CN"/>
        </w:rPr>
        <w:t>物资</w:t>
      </w:r>
      <w:r>
        <w:rPr>
          <w:rFonts w:hint="eastAsia" w:ascii="仿宋_GB2312" w:hAnsi="仿宋_GB2312" w:eastAsia="仿宋_GB2312" w:cs="仿宋_GB2312"/>
          <w:sz w:val="24"/>
          <w:szCs w:val="24"/>
        </w:rPr>
        <w:t>采购服务方案（含竞投报价清单以及服务事项</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w:t>
      </w:r>
    </w:p>
    <w:p>
      <w:pPr>
        <w:spacing w:line="400" w:lineRule="exac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报名</w:t>
      </w:r>
      <w:r>
        <w:rPr>
          <w:rFonts w:hint="eastAsia" w:ascii="仿宋_GB2312" w:hAnsi="仿宋_GB2312" w:eastAsia="仿宋_GB2312" w:cs="仿宋_GB2312"/>
          <w:sz w:val="24"/>
          <w:szCs w:val="24"/>
        </w:rPr>
        <w:t>截止时间：2022年</w:t>
      </w:r>
      <w:r>
        <w:rPr>
          <w:rFonts w:hint="eastAsia" w:ascii="仿宋_GB2312" w:hAnsi="仿宋_GB2312" w:eastAsia="仿宋_GB2312" w:cs="仿宋_GB2312"/>
          <w:sz w:val="24"/>
          <w:szCs w:val="24"/>
          <w:lang w:val="en-US" w:eastAsia="zh-CN"/>
        </w:rPr>
        <w:t xml:space="preserve"> 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28</w:t>
      </w:r>
      <w:r>
        <w:rPr>
          <w:rFonts w:hint="eastAsia" w:ascii="仿宋_GB2312" w:hAnsi="仿宋_GB2312" w:eastAsia="仿宋_GB2312" w:cs="仿宋_GB2312"/>
          <w:sz w:val="24"/>
          <w:szCs w:val="24"/>
        </w:rPr>
        <w:t>日上午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 xml:space="preserve"> 下午2</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）竞投单位以密封形式提交竞投资料，本项目仅接受现场递交资料，快递方式提交资料将视为无效竞投。</w:t>
      </w:r>
    </w:p>
    <w:p>
      <w:pPr>
        <w:spacing w:line="400" w:lineRule="exac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）竞投文件提交截止时间：2022年</w:t>
      </w:r>
      <w:r>
        <w:rPr>
          <w:rFonts w:hint="eastAsia" w:ascii="仿宋_GB2312" w:hAnsi="仿宋_GB2312" w:eastAsia="仿宋_GB2312" w:cs="仿宋_GB2312"/>
          <w:sz w:val="24"/>
          <w:szCs w:val="24"/>
          <w:lang w:val="en-US" w:eastAsia="zh-CN"/>
        </w:rPr>
        <w:t xml:space="preserve"> 10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8 </w:t>
      </w:r>
      <w:r>
        <w:rPr>
          <w:rFonts w:hint="eastAsia" w:ascii="仿宋_GB2312" w:hAnsi="仿宋_GB2312" w:eastAsia="仿宋_GB2312" w:cs="仿宋_GB2312"/>
          <w:sz w:val="24"/>
          <w:szCs w:val="24"/>
        </w:rPr>
        <w:t>日上午10:00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）递交地址：广州市越秀区流花路117号16号馆2楼。</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开评标</w:t>
      </w:r>
      <w:r>
        <w:rPr>
          <w:rFonts w:hint="eastAsia" w:ascii="仿宋_GB2312" w:hAnsi="仿宋_GB2312" w:eastAsia="仿宋_GB2312" w:cs="仿宋_GB2312"/>
          <w:sz w:val="24"/>
          <w:szCs w:val="24"/>
        </w:rPr>
        <w:t>时间：2022年</w:t>
      </w:r>
      <w:r>
        <w:rPr>
          <w:rFonts w:hint="eastAsia" w:ascii="仿宋_GB2312" w:hAnsi="仿宋_GB2312" w:eastAsia="仿宋_GB2312" w:cs="仿宋_GB2312"/>
          <w:sz w:val="24"/>
          <w:szCs w:val="24"/>
          <w:lang w:val="en-US" w:eastAsia="zh-CN"/>
        </w:rPr>
        <w:t xml:space="preserve"> 10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日上午10:00</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（一）采购人名称：广州市城壹房地产顾问有限公司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（二）采购人地址：广州市越秀区流花路流花展贸中心16号馆2楼</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（三）采购联系人：陈小姐</w:t>
      </w:r>
    </w:p>
    <w:p>
      <w:pPr>
        <w:snapToGrid w:val="0"/>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szCs w:val="24"/>
        </w:rPr>
      </w:pPr>
    </w:p>
    <w:p>
      <w:pPr>
        <w:widowControl/>
        <w:spacing w:line="400" w:lineRule="exact"/>
        <w:rPr>
          <w:rFonts w:ascii="仿宋_GB2312" w:hAnsi="仿宋_GB2312" w:eastAsia="仿宋_GB2312" w:cs="仿宋_GB2312"/>
          <w:kern w:val="0"/>
          <w:sz w:val="24"/>
          <w:szCs w:val="24"/>
        </w:rPr>
      </w:pPr>
    </w:p>
    <w:p>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bookmarkStart w:id="4" w:name="_Hlk111890385"/>
      <w:r>
        <w:rPr>
          <w:rFonts w:hint="eastAsia" w:ascii="仿宋_GB2312" w:hAnsi="仿宋_GB2312" w:eastAsia="仿宋_GB2312" w:cs="仿宋_GB2312"/>
          <w:kern w:val="0"/>
          <w:sz w:val="24"/>
          <w:szCs w:val="24"/>
        </w:rPr>
        <w:t xml:space="preserve"> </w:t>
      </w:r>
      <w:bookmarkStart w:id="5" w:name="_Hlk111890499"/>
      <w:r>
        <w:rPr>
          <w:rFonts w:hint="eastAsia" w:ascii="仿宋_GB2312" w:hAnsi="仿宋_GB2312" w:eastAsia="仿宋_GB2312" w:cs="仿宋_GB2312"/>
          <w:sz w:val="24"/>
          <w:szCs w:val="24"/>
        </w:rPr>
        <w:t>广州市城壹房地产顾问有限公司</w:t>
      </w:r>
      <w:bookmarkEnd w:id="4"/>
      <w:bookmarkEnd w:id="5"/>
    </w:p>
    <w:p>
      <w:pPr>
        <w:widowControl/>
        <w:wordWrap w:val="0"/>
        <w:spacing w:line="400" w:lineRule="exact"/>
        <w:ind w:right="1200"/>
        <w:jc w:val="right"/>
        <w:rPr>
          <w:rFonts w:ascii="仿宋_GB2312" w:hAnsi="仿宋_GB2312" w:eastAsia="仿宋_GB2312" w:cs="仿宋_GB2312"/>
          <w:color w:val="FF0000"/>
          <w:sz w:val="24"/>
          <w:szCs w:val="24"/>
        </w:rPr>
      </w:pPr>
      <w:r>
        <w:rPr>
          <w:rFonts w:hint="eastAsia" w:ascii="仿宋_GB2312" w:hAnsi="仿宋_GB2312" w:eastAsia="仿宋_GB2312" w:cs="仿宋_GB2312"/>
          <w:kern w:val="0"/>
          <w:sz w:val="24"/>
          <w:szCs w:val="24"/>
        </w:rPr>
        <w:t>2022年</w:t>
      </w: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lang w:val="en-US" w:eastAsia="zh-CN"/>
        </w:rPr>
        <w:t>26</w:t>
      </w:r>
      <w:r>
        <w:rPr>
          <w:rFonts w:hint="eastAsia" w:ascii="仿宋_GB2312" w:hAnsi="仿宋_GB2312" w:eastAsia="仿宋_GB2312" w:cs="仿宋_GB2312"/>
          <w:kern w:val="0"/>
          <w:sz w:val="24"/>
          <w:szCs w:val="24"/>
        </w:rPr>
        <w:t>日</w:t>
      </w: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p>
      <w:pPr>
        <w:keepNext/>
        <w:spacing w:line="400" w:lineRule="exact"/>
        <w:ind w:right="-441" w:rightChars="-210"/>
        <w:jc w:val="center"/>
        <w:outlineLvl w:val="0"/>
        <w:rPr>
          <w:rFonts w:ascii="仿宋_GB2312" w:hAnsi="Calibri" w:eastAsia="仿宋_GB2312" w:cs="Times New Roman"/>
          <w:b/>
          <w:sz w:val="32"/>
          <w:szCs w:val="32"/>
        </w:rPr>
      </w:pPr>
      <w:bookmarkStart w:id="6" w:name="_Toc130180737"/>
      <w:bookmarkStart w:id="7" w:name="_Toc334797738"/>
      <w:bookmarkStart w:id="8" w:name="_Toc238282338"/>
      <w:bookmarkStart w:id="9" w:name="_Toc130180842"/>
      <w:bookmarkStart w:id="10" w:name="_Toc130180923"/>
      <w:r>
        <w:rPr>
          <w:rFonts w:hint="eastAsia" w:ascii="仿宋_GB2312" w:hAnsi="仿宋_GB2312" w:eastAsia="仿宋_GB2312" w:cs="仿宋_GB2312"/>
          <w:sz w:val="24"/>
          <w:szCs w:val="24"/>
          <w:lang w:val="en-US" w:eastAsia="zh-CN"/>
        </w:rPr>
        <w:t>二、</w:t>
      </w:r>
      <w:r>
        <w:rPr>
          <w:rFonts w:hint="eastAsia" w:ascii="仿宋_GB2312" w:hAnsi="Calibri" w:eastAsia="仿宋_GB2312" w:cs="Times New Roman"/>
          <w:b/>
          <w:sz w:val="32"/>
          <w:szCs w:val="32"/>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本竞选文件仅适用于本次公开竞选所叙述的城隽雅苑北区办公</w:t>
      </w:r>
      <w:r>
        <w:rPr>
          <w:rFonts w:hint="eastAsia" w:ascii="仿宋_GB2312" w:hAnsi="仿宋_GB2312" w:eastAsia="仿宋_GB2312" w:cs="仿宋_GB2312"/>
          <w:szCs w:val="21"/>
          <w:lang w:eastAsia="zh-CN"/>
        </w:rPr>
        <w:t>物资</w:t>
      </w:r>
      <w:r>
        <w:rPr>
          <w:rFonts w:hint="eastAsia" w:ascii="仿宋_GB2312" w:hAnsi="仿宋_GB2312" w:eastAsia="仿宋_GB2312" w:cs="仿宋_GB2312"/>
          <w:szCs w:val="21"/>
        </w:rPr>
        <w:t>采购服务采购项目，本次竞选采用一次报价一次评标定标的方式，竞投人的报价必须固定，且只能根据采购方给予的方案作一个最有竞争力的设计和竞投人案，否则将作无效竞投处理。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1）竞投人公司资质等相关证明文件；</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（2）竞投报价执行清单（参考附件5）；</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（3）服务响应文件，包括但不限于以下内容：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hint="eastAsia" w:ascii="微软雅黑" w:hAnsi="微软雅黑" w:eastAsia="微软雅黑" w:cs="仿宋_GB2312"/>
                                <w:sz w:val="18"/>
                                <w:szCs w:val="18"/>
                                <w:lang w:eastAsia="zh-CN"/>
                              </w:rPr>
                            </w:pPr>
                            <w:r>
                              <w:rPr>
                                <w:rFonts w:hint="eastAsia" w:ascii="微软雅黑" w:hAnsi="微软雅黑" w:eastAsia="微软雅黑" w:cs="仿宋_GB2312"/>
                                <w:sz w:val="18"/>
                                <w:szCs w:val="18"/>
                              </w:rPr>
                              <w:t>项目名称：</w:t>
                            </w:r>
                            <w:r>
                              <w:rPr>
                                <w:rFonts w:hint="eastAsia" w:ascii="微软雅黑" w:hAnsi="微软雅黑" w:eastAsia="微软雅黑" w:cs="仿宋_GB2312"/>
                                <w:sz w:val="18"/>
                                <w:szCs w:val="18"/>
                                <w:lang w:eastAsia="zh-CN"/>
                              </w:rPr>
                              <w:t>城隽雅苑北区办公物资采购服务项目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hint="eastAsia" w:ascii="微软雅黑" w:hAnsi="微软雅黑" w:eastAsia="微软雅黑" w:cs="仿宋_GB2312"/>
                          <w:sz w:val="18"/>
                          <w:szCs w:val="18"/>
                          <w:lang w:eastAsia="zh-CN"/>
                        </w:rPr>
                      </w:pPr>
                      <w:r>
                        <w:rPr>
                          <w:rFonts w:hint="eastAsia" w:ascii="微软雅黑" w:hAnsi="微软雅黑" w:eastAsia="微软雅黑" w:cs="仿宋_GB2312"/>
                          <w:sz w:val="18"/>
                          <w:szCs w:val="18"/>
                        </w:rPr>
                        <w:t>项目名称：</w:t>
                      </w:r>
                      <w:r>
                        <w:rPr>
                          <w:rFonts w:hint="eastAsia" w:ascii="微软雅黑" w:hAnsi="微软雅黑" w:eastAsia="微软雅黑" w:cs="仿宋_GB2312"/>
                          <w:sz w:val="18"/>
                          <w:szCs w:val="18"/>
                          <w:lang w:eastAsia="zh-CN"/>
                        </w:rPr>
                        <w:t>城隽雅苑北区办公物资采购服务项目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（1）递交地点：广州市越秀区流花路流花展贸中心16号馆2楼。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（2）竞投文件递交受理时间于2022年</w:t>
      </w:r>
      <w:r>
        <w:rPr>
          <w:rFonts w:hint="eastAsia" w:ascii="仿宋_GB2312" w:hAnsi="仿宋_GB2312" w:eastAsia="仿宋_GB2312" w:cs="仿宋_GB2312"/>
          <w:szCs w:val="21"/>
          <w:lang w:val="en-US" w:eastAsia="zh-CN"/>
        </w:rPr>
        <w:t xml:space="preserve"> 10</w:t>
      </w:r>
      <w:bookmarkStart w:id="19" w:name="_GoBack"/>
      <w:bookmarkEnd w:id="19"/>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4.价格评分：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cs="Times New Roman"/>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6"/>
      <w:bookmarkEnd w:id="7"/>
      <w:bookmarkEnd w:id="8"/>
      <w:bookmarkEnd w:id="9"/>
      <w:bookmarkEnd w:id="10"/>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11"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12" w:name="OLE_LINK2"/>
      <w:bookmarkStart w:id="13" w:name="OLE_LINK3"/>
      <w:r>
        <w:rPr>
          <w:rFonts w:hint="eastAsia" w:ascii="仿宋_GB2312" w:hAnsi="宋体" w:eastAsia="仿宋_GB2312" w:cs="宋体"/>
          <w:b/>
          <w:bCs/>
          <w:sz w:val="30"/>
          <w:szCs w:val="30"/>
        </w:rPr>
        <w:t>符合性检查表</w:t>
      </w:r>
      <w:bookmarkEnd w:id="11"/>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公司资信情况良好，服务过同类性质项目次数</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次及以上：10分；服务过同类性质项目次数</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次：5 分；未曾服务过同类性质项目：0分（提供相应合同或中标通知书等相关证明文件）</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60分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p>
      <w:pPr>
        <w:rPr>
          <w:rFonts w:ascii="Calibri" w:hAnsi="Calibri" w:eastAsia="宋体" w:cs="Times New Roman"/>
          <w:szCs w:val="24"/>
        </w:rPr>
      </w:pPr>
    </w:p>
    <w:p>
      <w:pPr>
        <w:jc w:val="center"/>
        <w:rPr>
          <w:rFonts w:ascii="Calibri" w:hAnsi="Calibri" w:eastAsia="宋体" w:cs="Times New Roman"/>
          <w:szCs w:val="24"/>
        </w:rPr>
      </w:pPr>
      <w:r>
        <w:rPr>
          <w:rFonts w:hint="eastAsia" w:ascii="宋体" w:hAnsi="宋体" w:eastAsia="宋体" w:cs="宋体"/>
          <w:b/>
          <w:sz w:val="32"/>
          <w:szCs w:val="32"/>
        </w:rPr>
        <w:t>项目方案评审表</w:t>
      </w:r>
      <w:r>
        <w:rPr>
          <w:rFonts w:hint="eastAsia" w:ascii="Calibri" w:hAnsi="Calibri" w:eastAsia="宋体" w:cs="Times New Roman"/>
          <w:szCs w:val="24"/>
        </w:rPr>
        <w:t xml:space="preserve">             </w:t>
      </w:r>
    </w:p>
    <w:p>
      <w:pPr>
        <w:jc w:val="right"/>
        <w:rPr>
          <w:rFonts w:ascii="宋体" w:hAnsi="宋体" w:eastAsia="宋体" w:cs="宋体"/>
          <w:b/>
          <w:sz w:val="32"/>
          <w:szCs w:val="32"/>
        </w:rPr>
      </w:pPr>
      <w:r>
        <w:rPr>
          <w:rFonts w:hint="eastAsia" w:ascii="Calibri" w:hAnsi="Calibri" w:eastAsia="宋体" w:cs="Times New Roman"/>
          <w:szCs w:val="24"/>
        </w:rPr>
        <w:t>日期：    年  月   日</w:t>
      </w:r>
    </w:p>
    <w:tbl>
      <w:tblPr>
        <w:tblStyle w:val="5"/>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832"/>
        <w:gridCol w:w="5370"/>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832"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537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30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项目的需求理解</w:t>
            </w:r>
          </w:p>
        </w:tc>
        <w:tc>
          <w:tcPr>
            <w:tcW w:w="8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20分</w:t>
            </w:r>
          </w:p>
        </w:tc>
        <w:tc>
          <w:tcPr>
            <w:tcW w:w="5370"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所有</w:t>
            </w:r>
            <w:r>
              <w:rPr>
                <w:rFonts w:hint="eastAsia" w:ascii="仿宋_GB2312" w:hAnsi="宋体" w:eastAsia="仿宋_GB2312" w:cs="宋体"/>
                <w:kern w:val="0"/>
                <w:szCs w:val="21"/>
                <w:lang w:eastAsia="zh-CN"/>
              </w:rPr>
              <w:t>竞投人</w:t>
            </w:r>
            <w:r>
              <w:rPr>
                <w:rFonts w:hint="eastAsia" w:ascii="仿宋_GB2312" w:hAnsi="宋体" w:eastAsia="仿宋_GB2312" w:cs="宋体"/>
                <w:kern w:val="0"/>
                <w:szCs w:val="21"/>
              </w:rPr>
              <w:t>方案横向比较，根据各</w:t>
            </w:r>
            <w:r>
              <w:rPr>
                <w:rFonts w:hint="eastAsia" w:ascii="仿宋_GB2312" w:hAnsi="宋体" w:eastAsia="仿宋_GB2312" w:cs="宋体"/>
                <w:kern w:val="0"/>
                <w:szCs w:val="21"/>
                <w:lang w:eastAsia="zh-CN"/>
              </w:rPr>
              <w:t>竞投人</w:t>
            </w:r>
            <w:r>
              <w:rPr>
                <w:rFonts w:hint="eastAsia" w:ascii="仿宋_GB2312" w:hAnsi="宋体" w:eastAsia="仿宋_GB2312" w:cs="宋体"/>
                <w:kern w:val="0"/>
                <w:szCs w:val="21"/>
              </w:rPr>
              <w:t>提供信息的详细及优质程度进行打分，优得10-20分，中得5-9分，差得0-4分。</w:t>
            </w:r>
          </w:p>
        </w:tc>
        <w:tc>
          <w:tcPr>
            <w:tcW w:w="1303"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响应及应急方案</w:t>
            </w:r>
          </w:p>
        </w:tc>
        <w:tc>
          <w:tcPr>
            <w:tcW w:w="8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10分</w:t>
            </w:r>
          </w:p>
        </w:tc>
        <w:tc>
          <w:tcPr>
            <w:tcW w:w="5370"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根据</w:t>
            </w:r>
            <w:r>
              <w:rPr>
                <w:rFonts w:hint="eastAsia" w:ascii="仿宋_GB2312" w:hAnsi="宋体" w:eastAsia="仿宋_GB2312" w:cs="宋体"/>
                <w:kern w:val="0"/>
                <w:szCs w:val="21"/>
                <w:lang w:eastAsia="zh-CN"/>
              </w:rPr>
              <w:t>竞投人</w:t>
            </w:r>
            <w:r>
              <w:rPr>
                <w:rFonts w:hint="eastAsia" w:ascii="仿宋_GB2312" w:hAnsi="宋体" w:eastAsia="仿宋_GB2312" w:cs="宋体"/>
                <w:kern w:val="0"/>
                <w:szCs w:val="21"/>
              </w:rPr>
              <w:t>提供的响应方案及应急方案进行横向比较，优得5分，中得2分，差得1分。未提供不得分。</w:t>
            </w:r>
          </w:p>
        </w:tc>
        <w:tc>
          <w:tcPr>
            <w:tcW w:w="1303"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售后服务计划书</w:t>
            </w:r>
          </w:p>
        </w:tc>
        <w:tc>
          <w:tcPr>
            <w:tcW w:w="832"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10分</w:t>
            </w:r>
          </w:p>
        </w:tc>
        <w:tc>
          <w:tcPr>
            <w:tcW w:w="5370"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根据</w:t>
            </w:r>
            <w:r>
              <w:rPr>
                <w:rFonts w:hint="eastAsia" w:ascii="仿宋_GB2312" w:hAnsi="宋体" w:eastAsia="仿宋_GB2312" w:cs="宋体"/>
                <w:kern w:val="0"/>
                <w:szCs w:val="21"/>
                <w:lang w:eastAsia="zh-CN"/>
              </w:rPr>
              <w:t>竞投人</w:t>
            </w:r>
            <w:r>
              <w:rPr>
                <w:rFonts w:hint="eastAsia" w:ascii="仿宋_GB2312" w:hAnsi="宋体" w:eastAsia="仿宋_GB2312" w:cs="宋体"/>
                <w:kern w:val="0"/>
                <w:szCs w:val="21"/>
              </w:rPr>
              <w:t>所提供的售后服务计划书内容，所有</w:t>
            </w:r>
            <w:r>
              <w:rPr>
                <w:rFonts w:hint="eastAsia" w:ascii="仿宋_GB2312" w:hAnsi="宋体" w:eastAsia="仿宋_GB2312" w:cs="宋体"/>
                <w:kern w:val="0"/>
                <w:szCs w:val="21"/>
                <w:lang w:eastAsia="zh-CN"/>
              </w:rPr>
              <w:t>竞投人</w:t>
            </w:r>
            <w:r>
              <w:rPr>
                <w:rFonts w:hint="eastAsia" w:ascii="仿宋_GB2312" w:hAnsi="宋体" w:eastAsia="仿宋_GB2312" w:cs="宋体"/>
                <w:kern w:val="0"/>
                <w:szCs w:val="21"/>
              </w:rPr>
              <w:t>进行综合评价，售后服务最完善的</w:t>
            </w:r>
            <w:r>
              <w:rPr>
                <w:rFonts w:hint="eastAsia" w:ascii="仿宋_GB2312" w:hAnsi="宋体" w:eastAsia="仿宋_GB2312" w:cs="宋体"/>
                <w:kern w:val="0"/>
                <w:szCs w:val="21"/>
                <w:lang w:eastAsia="zh-CN"/>
              </w:rPr>
              <w:t>竞投人</w:t>
            </w:r>
            <w:r>
              <w:rPr>
                <w:rFonts w:hint="eastAsia" w:ascii="仿宋_GB2312" w:hAnsi="宋体" w:eastAsia="仿宋_GB2312" w:cs="宋体"/>
                <w:kern w:val="0"/>
                <w:szCs w:val="21"/>
              </w:rPr>
              <w:t>得5分，较完善的得3分，一般完善的得2分，不完善的得1分。</w:t>
            </w:r>
          </w:p>
        </w:tc>
        <w:tc>
          <w:tcPr>
            <w:tcW w:w="1303"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8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40分</w:t>
            </w:r>
          </w:p>
        </w:tc>
        <w:tc>
          <w:tcPr>
            <w:tcW w:w="5370" w:type="dxa"/>
            <w:vAlign w:val="center"/>
          </w:tcPr>
          <w:p>
            <w:pPr>
              <w:spacing w:line="400" w:lineRule="exact"/>
              <w:rPr>
                <w:rFonts w:ascii="仿宋_GB2312" w:hAnsi="宋体" w:eastAsia="仿宋_GB2312" w:cs="宋体"/>
                <w:kern w:val="0"/>
                <w:szCs w:val="21"/>
              </w:rPr>
            </w:pPr>
          </w:p>
        </w:tc>
        <w:tc>
          <w:tcPr>
            <w:tcW w:w="1303" w:type="dxa"/>
            <w:vAlign w:val="center"/>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r>
        <w:rPr>
          <w:rFonts w:hint="eastAsia" w:ascii="Calibri" w:hAnsi="Calibri" w:eastAsia="宋体" w:cs="Times New Roman"/>
          <w:szCs w:val="24"/>
        </w:rPr>
        <w:t>评委签名：</w:t>
      </w:r>
    </w:p>
    <w:bookmarkEnd w:id="12"/>
    <w:bookmarkEnd w:id="13"/>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5"/>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861"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line="360" w:lineRule="auto"/>
        <w:ind w:right="-1758" w:rightChars="-837"/>
        <w:rPr>
          <w:rFonts w:ascii="微软雅黑" w:hAnsi="微软雅黑" w:eastAsia="微软雅黑" w:cs="Times New Roman"/>
          <w:b/>
          <w:bCs/>
          <w:sz w:val="36"/>
          <w:szCs w:val="36"/>
        </w:rPr>
      </w:pPr>
    </w:p>
    <w:p>
      <w:pPr>
        <w:jc w:val="center"/>
        <w:rPr>
          <w:rFonts w:ascii="仿宋_GB2312" w:hAnsi="宋体" w:eastAsia="仿宋_GB2312"/>
          <w:b/>
          <w:sz w:val="32"/>
          <w:szCs w:val="32"/>
        </w:rPr>
      </w:pPr>
      <w:r>
        <w:rPr>
          <w:rFonts w:hint="eastAsia" w:ascii="仿宋_GB2312" w:hAnsi="宋体" w:eastAsia="仿宋_GB2312"/>
          <w:b/>
          <w:sz w:val="32"/>
          <w:szCs w:val="32"/>
        </w:rPr>
        <w:t>城隽雅苑北区办公</w:t>
      </w:r>
      <w:r>
        <w:rPr>
          <w:rFonts w:hint="eastAsia" w:ascii="仿宋_GB2312" w:hAnsi="宋体" w:eastAsia="仿宋_GB2312"/>
          <w:b/>
          <w:sz w:val="32"/>
          <w:szCs w:val="32"/>
          <w:lang w:val="en-US" w:eastAsia="zh-CN"/>
        </w:rPr>
        <w:t>物资</w:t>
      </w:r>
      <w:r>
        <w:rPr>
          <w:rFonts w:hint="eastAsia" w:ascii="仿宋_GB2312" w:hAnsi="宋体" w:eastAsia="仿宋_GB2312"/>
          <w:b/>
          <w:sz w:val="32"/>
          <w:szCs w:val="32"/>
        </w:rPr>
        <w:t>采购合同</w:t>
      </w:r>
    </w:p>
    <w:p>
      <w:pPr>
        <w:spacing w:line="460" w:lineRule="exact"/>
        <w:ind w:right="-808" w:rightChars="-385"/>
        <w:rPr>
          <w:rFonts w:ascii="仿宋_GB2312" w:hAnsi="宋体" w:eastAsia="仿宋_GB2312"/>
          <w:b/>
          <w:sz w:val="10"/>
          <w:szCs w:val="10"/>
        </w:rPr>
      </w:pPr>
    </w:p>
    <w:p>
      <w:pPr>
        <w:spacing w:line="360" w:lineRule="auto"/>
        <w:ind w:left="-141" w:leftChars="-67" w:right="-808" w:rightChars="-385"/>
        <w:rPr>
          <w:rFonts w:hAnsi="宋体" w:cs="宋体"/>
          <w:sz w:val="24"/>
          <w:szCs w:val="24"/>
        </w:rPr>
      </w:pPr>
      <w:r>
        <w:rPr>
          <w:rFonts w:hint="eastAsia" w:hAnsi="宋体" w:cs="宋体"/>
          <w:sz w:val="24"/>
          <w:szCs w:val="24"/>
        </w:rPr>
        <w:t>甲方：</w:t>
      </w:r>
    </w:p>
    <w:p>
      <w:pPr>
        <w:spacing w:line="360" w:lineRule="auto"/>
        <w:ind w:left="-141" w:leftChars="-67" w:right="-808" w:rightChars="-385"/>
        <w:rPr>
          <w:rFonts w:hAnsi="宋体" w:cs="宋体"/>
          <w:sz w:val="24"/>
          <w:szCs w:val="24"/>
        </w:rPr>
      </w:pPr>
      <w:r>
        <w:rPr>
          <w:rFonts w:hint="eastAsia" w:hAnsi="宋体" w:cs="宋体"/>
          <w:sz w:val="24"/>
          <w:szCs w:val="24"/>
        </w:rPr>
        <w:t>地址：</w:t>
      </w:r>
    </w:p>
    <w:p>
      <w:pPr>
        <w:spacing w:line="360" w:lineRule="auto"/>
        <w:ind w:left="-141" w:leftChars="-67" w:right="-808" w:rightChars="-385"/>
        <w:rPr>
          <w:rFonts w:hAnsi="宋体" w:cs="宋体"/>
          <w:sz w:val="24"/>
          <w:szCs w:val="24"/>
        </w:rPr>
      </w:pPr>
      <w:r>
        <w:rPr>
          <w:rFonts w:hint="eastAsia" w:hAnsi="宋体" w:cs="宋体"/>
          <w:sz w:val="24"/>
          <w:szCs w:val="24"/>
        </w:rPr>
        <w:t xml:space="preserve">乙方： </w:t>
      </w:r>
    </w:p>
    <w:p>
      <w:pPr>
        <w:spacing w:line="360" w:lineRule="auto"/>
        <w:ind w:left="-141" w:leftChars="-67" w:right="-525" w:rightChars="-250"/>
        <w:rPr>
          <w:rFonts w:hAnsi="宋体" w:cs="宋体"/>
          <w:sz w:val="24"/>
          <w:szCs w:val="24"/>
        </w:rPr>
      </w:pPr>
      <w:r>
        <w:rPr>
          <w:rFonts w:hint="eastAsia" w:hAnsi="宋体" w:cs="宋体"/>
          <w:sz w:val="24"/>
          <w:szCs w:val="24"/>
        </w:rPr>
        <w:t>地址：</w:t>
      </w:r>
    </w:p>
    <w:p>
      <w:pPr>
        <w:spacing w:line="360" w:lineRule="auto"/>
        <w:ind w:left="900" w:leftChars="-202" w:right="-382" w:rightChars="-182" w:hanging="1324" w:hangingChars="552"/>
        <w:rPr>
          <w:rFonts w:hAnsi="宋体" w:cs="宋体"/>
          <w:sz w:val="24"/>
          <w:szCs w:val="24"/>
        </w:rPr>
      </w:pPr>
    </w:p>
    <w:p>
      <w:pPr>
        <w:tabs>
          <w:tab w:val="left" w:pos="4500"/>
        </w:tabs>
        <w:spacing w:line="360" w:lineRule="auto"/>
        <w:rPr>
          <w:rFonts w:hAnsi="宋体" w:cs="宋体"/>
          <w:sz w:val="24"/>
          <w:szCs w:val="24"/>
        </w:rPr>
      </w:pPr>
      <w:r>
        <w:rPr>
          <w:rFonts w:hint="eastAsia" w:hAnsi="宋体" w:cs="宋体"/>
          <w:sz w:val="24"/>
          <w:szCs w:val="24"/>
        </w:rPr>
        <w:t xml:space="preserve">    本着互惠互利，精诚合作，长期发展的原则，根据《中华人民共和国民法典》及有关法律规定，在平等的条件下，经甲、乙双方友好协商，一致同意乙方就甲方所需</w:t>
      </w:r>
      <w:r>
        <w:rPr>
          <w:rFonts w:hint="eastAsia" w:hAnsi="宋体" w:cs="宋体"/>
          <w:sz w:val="24"/>
          <w:szCs w:val="24"/>
          <w:u w:val="single"/>
        </w:rPr>
        <w:t>办公</w:t>
      </w:r>
      <w:r>
        <w:rPr>
          <w:rFonts w:hint="eastAsia" w:hAnsi="宋体" w:cs="宋体"/>
          <w:sz w:val="24"/>
          <w:szCs w:val="24"/>
          <w:u w:val="single"/>
          <w:lang w:eastAsia="zh-CN"/>
        </w:rPr>
        <w:t>物资</w:t>
      </w:r>
      <w:r>
        <w:rPr>
          <w:rFonts w:hint="eastAsia" w:hAnsi="宋体" w:cs="宋体"/>
          <w:sz w:val="24"/>
          <w:szCs w:val="24"/>
        </w:rPr>
        <w:t>类物料提供产品及服务达成以下协议，共同遵守。</w:t>
      </w:r>
    </w:p>
    <w:p>
      <w:pPr>
        <w:numPr>
          <w:ilvl w:val="0"/>
          <w:numId w:val="5"/>
        </w:numPr>
        <w:spacing w:line="360" w:lineRule="auto"/>
        <w:rPr>
          <w:rFonts w:hAnsi="宋体" w:cs="宋体"/>
          <w:b/>
          <w:sz w:val="24"/>
          <w:szCs w:val="24"/>
        </w:rPr>
      </w:pPr>
      <w:r>
        <w:rPr>
          <w:rFonts w:hint="eastAsia" w:hAnsi="宋体" w:cs="宋体"/>
          <w:b/>
          <w:sz w:val="24"/>
          <w:szCs w:val="24"/>
        </w:rPr>
        <w:t>购置产品明细要求：</w:t>
      </w:r>
    </w:p>
    <w:tbl>
      <w:tblPr>
        <w:tblStyle w:val="5"/>
        <w:tblW w:w="10632" w:type="dxa"/>
        <w:tblInd w:w="-1026" w:type="dxa"/>
        <w:tblLayout w:type="fixed"/>
        <w:tblCellMar>
          <w:top w:w="0" w:type="dxa"/>
          <w:left w:w="108" w:type="dxa"/>
          <w:bottom w:w="0" w:type="dxa"/>
          <w:right w:w="108" w:type="dxa"/>
        </w:tblCellMar>
      </w:tblPr>
      <w:tblGrid>
        <w:gridCol w:w="1134"/>
        <w:gridCol w:w="2127"/>
        <w:gridCol w:w="1984"/>
        <w:gridCol w:w="1701"/>
        <w:gridCol w:w="1276"/>
        <w:gridCol w:w="1134"/>
        <w:gridCol w:w="1276"/>
      </w:tblGrid>
      <w:tr>
        <w:tblPrEx>
          <w:tblCellMar>
            <w:top w:w="0" w:type="dxa"/>
            <w:left w:w="108" w:type="dxa"/>
            <w:bottom w:w="0" w:type="dxa"/>
            <w:right w:w="108" w:type="dxa"/>
          </w:tblCellMar>
        </w:tblPrEx>
        <w:trPr>
          <w:trHeight w:val="618" w:hRule="atLeast"/>
        </w:trPr>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b/>
                <w:sz w:val="24"/>
                <w:szCs w:val="24"/>
              </w:rPr>
            </w:pPr>
            <w:r>
              <w:rPr>
                <w:rFonts w:hint="eastAsia" w:hAnsi="宋体" w:cs="宋体"/>
                <w:b/>
                <w:sz w:val="24"/>
                <w:szCs w:val="24"/>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品名</w:t>
            </w:r>
          </w:p>
        </w:tc>
        <w:tc>
          <w:tcPr>
            <w:tcW w:w="198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品牌/型号/规格</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单位</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b/>
                <w:sz w:val="24"/>
                <w:szCs w:val="24"/>
              </w:rPr>
            </w:pPr>
            <w:r>
              <w:rPr>
                <w:rFonts w:hint="eastAsia" w:hAnsi="宋体" w:cs="宋体"/>
                <w:b/>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总价</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西部数据(WD) NVMe 移动固态硬盘</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2TB  </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闪迪USB3.2固态 U盘 </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128G  </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长尾夹</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得力彩色32MM </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长尾夹 </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得力彩色41MM </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得力1.2小双面胶 </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30434</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得力125ml高粘度液体胶 </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7303</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7</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3M 报事贴 经典系列</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654N</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本</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8</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斑马大双头记号笔黑色</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MO-150</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9</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惠斯特激光笔红光远射镭射笔</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红光H5R</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得力回形针</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18</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得力剪刀</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6034</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得力美工刀</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DL003</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得力透明封箱胶带60mm*100Y</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30369</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得力透明胶带24mm</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30131</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创易夹板文件夹</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CY0339 A4</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得力文件盒</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33509</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17</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得力带线办公台笔</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6793</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18</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公牛10m/10位排插</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GN218</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19</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金霸王电池40粒/盒</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7#</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金霸王电池40粒/盒</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齐心拉杆文件夹</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A4</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文件袋</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创易 CY5680</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 GLOSEN药箱（含25件药品）</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  8263AAA</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戴尔3090SFF商用台式电脑</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CPU：I3-10505 内存：8G 硬盘：256G 硬盘：1T 独立显卡2G 显示器：23.8英寸 P2422H</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戴尔商用显示器</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P2422 23.8英寸</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戴尔成就5620笔记本电脑</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CPU：12代I5-1240P 内存：16G 硬盘1：512G  屏幕：MX570独显16英寸</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27</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保险柜</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虎牌保险柜 60cm酷睿黑（指纹密码款）3层空间</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28</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电视机</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华为智慧屏SE55超薄全面屏电视机 55寸</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rPr>
              <w:t>2</w:t>
            </w:r>
            <w:r>
              <w:rPr>
                <w:rFonts w:hint="eastAsia" w:ascii="等线" w:hAnsi="等线" w:eastAsia="等线" w:cs="宋体"/>
                <w:color w:val="000000"/>
                <w:kern w:val="0"/>
                <w:sz w:val="22"/>
                <w:lang w:val="en-US" w:eastAsia="zh-CN"/>
              </w:rPr>
              <w:t>9</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NB P6电视挂架电视壁挂架电视支架</w:t>
            </w:r>
          </w:p>
        </w:tc>
        <w:tc>
          <w:tcPr>
            <w:tcW w:w="198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45-75英寸</w:t>
            </w: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TP-link无线接收器</w:t>
            </w:r>
          </w:p>
        </w:tc>
        <w:tc>
          <w:tcPr>
            <w:tcW w:w="198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TP-link 8口千兆交换机</w:t>
            </w:r>
          </w:p>
        </w:tc>
        <w:tc>
          <w:tcPr>
            <w:tcW w:w="198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TP-link 24千兆口交换机</w:t>
            </w:r>
          </w:p>
        </w:tc>
        <w:tc>
          <w:tcPr>
            <w:tcW w:w="198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绿联六类网线 5米</w:t>
            </w:r>
          </w:p>
        </w:tc>
        <w:tc>
          <w:tcPr>
            <w:tcW w:w="198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条</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9356" w:type="dxa"/>
            <w:gridSpan w:val="6"/>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sz w:val="24"/>
                <w:szCs w:val="24"/>
              </w:rPr>
            </w:pPr>
            <w:r>
              <w:rPr>
                <w:rFonts w:hint="eastAsia" w:hAnsi="宋体" w:cs="宋体"/>
                <w:sz w:val="24"/>
                <w:szCs w:val="24"/>
                <w:lang w:val="en-US" w:eastAsia="zh-CN"/>
              </w:rPr>
              <w:t>含税总价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p>
        </w:tc>
      </w:tr>
      <w:tr>
        <w:tblPrEx>
          <w:tblCellMar>
            <w:top w:w="0" w:type="dxa"/>
            <w:left w:w="108" w:type="dxa"/>
            <w:bottom w:w="0" w:type="dxa"/>
            <w:right w:w="108" w:type="dxa"/>
          </w:tblCellMar>
        </w:tblPrEx>
        <w:trPr>
          <w:trHeight w:val="698" w:hRule="atLeast"/>
        </w:trPr>
        <w:tc>
          <w:tcPr>
            <w:tcW w:w="9356" w:type="dxa"/>
            <w:gridSpan w:val="6"/>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sz w:val="24"/>
                <w:szCs w:val="24"/>
              </w:rPr>
            </w:pPr>
            <w:r>
              <w:rPr>
                <w:rFonts w:hint="eastAsia" w:hAnsi="宋体" w:cs="宋体"/>
                <w:sz w:val="24"/>
                <w:szCs w:val="24"/>
                <w:lang w:val="en-US" w:eastAsia="zh-CN"/>
              </w:rPr>
              <w:t>税费（13%）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p>
        </w:tc>
      </w:tr>
      <w:tr>
        <w:tblPrEx>
          <w:tblCellMar>
            <w:top w:w="0" w:type="dxa"/>
            <w:left w:w="108" w:type="dxa"/>
            <w:bottom w:w="0" w:type="dxa"/>
            <w:right w:w="108" w:type="dxa"/>
          </w:tblCellMar>
        </w:tblPrEx>
        <w:trPr>
          <w:trHeight w:val="698" w:hRule="atLeast"/>
        </w:trPr>
        <w:tc>
          <w:tcPr>
            <w:tcW w:w="9356" w:type="dxa"/>
            <w:gridSpan w:val="6"/>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sz w:val="24"/>
                <w:szCs w:val="24"/>
              </w:rPr>
            </w:pPr>
            <w:r>
              <w:rPr>
                <w:rFonts w:hint="eastAsia" w:hAnsi="宋体" w:cs="宋体"/>
                <w:sz w:val="24"/>
                <w:szCs w:val="24"/>
                <w:lang w:val="en-US" w:eastAsia="zh-CN"/>
              </w:rPr>
              <w:t>不含税价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p>
        </w:tc>
      </w:tr>
      <w:tr>
        <w:tblPrEx>
          <w:tblCellMar>
            <w:top w:w="0" w:type="dxa"/>
            <w:left w:w="108" w:type="dxa"/>
            <w:bottom w:w="0" w:type="dxa"/>
            <w:right w:w="108" w:type="dxa"/>
          </w:tblCellMar>
        </w:tblPrEx>
        <w:trPr>
          <w:trHeight w:val="284" w:hRule="atLeast"/>
        </w:trPr>
        <w:tc>
          <w:tcPr>
            <w:tcW w:w="10632" w:type="dxa"/>
            <w:gridSpan w:val="7"/>
            <w:tcBorders>
              <w:top w:val="single" w:color="auto" w:sz="4" w:space="0"/>
              <w:left w:val="single" w:color="auto" w:sz="4" w:space="0"/>
              <w:bottom w:val="single" w:color="auto" w:sz="4" w:space="0"/>
              <w:right w:val="single" w:color="auto" w:sz="4" w:space="0"/>
            </w:tcBorders>
          </w:tcPr>
          <w:p>
            <w:pPr>
              <w:widowControl/>
              <w:spacing w:line="360" w:lineRule="auto"/>
              <w:rPr>
                <w:rFonts w:hAnsi="宋体" w:cs="宋体"/>
                <w:sz w:val="24"/>
                <w:szCs w:val="24"/>
              </w:rPr>
            </w:pPr>
            <w:r>
              <w:rPr>
                <w:rFonts w:hint="eastAsia" w:hAnsi="宋体" w:cs="宋体"/>
                <w:sz w:val="24"/>
                <w:szCs w:val="24"/>
              </w:rPr>
              <w:t>备注：1、以上价格已含货物、包装费、税费（13%增值税专用发票）、运输费。</w:t>
            </w:r>
          </w:p>
          <w:p>
            <w:pPr>
              <w:widowControl/>
              <w:spacing w:line="360" w:lineRule="auto"/>
              <w:rPr>
                <w:rFonts w:hAnsi="宋体" w:cs="宋体"/>
                <w:sz w:val="24"/>
                <w:szCs w:val="24"/>
              </w:rPr>
            </w:pPr>
            <w:r>
              <w:rPr>
                <w:rFonts w:hint="eastAsia" w:hAnsi="宋体" w:cs="宋体"/>
                <w:sz w:val="24"/>
                <w:szCs w:val="24"/>
              </w:rPr>
              <w:t>2、甲方按需分别向定点供应商下单订货，按实结算。</w:t>
            </w:r>
          </w:p>
          <w:p>
            <w:pPr>
              <w:widowControl/>
              <w:spacing w:line="360" w:lineRule="auto"/>
              <w:rPr>
                <w:rFonts w:hAnsi="宋体" w:cs="宋体"/>
                <w:sz w:val="24"/>
                <w:szCs w:val="24"/>
              </w:rPr>
            </w:pPr>
            <w:r>
              <w:rPr>
                <w:rFonts w:hint="eastAsia" w:hAnsi="宋体" w:cs="宋体"/>
                <w:sz w:val="24"/>
                <w:szCs w:val="24"/>
              </w:rPr>
              <w:t>3、如遇国家政策调整增值税税率发生变化，本合同项下不含税价不变，含税价根据当期适用增值税税率调整，计算公式为：含税价=不含税价X (1+当期适用增值税税率)。</w:t>
            </w:r>
          </w:p>
        </w:tc>
      </w:tr>
    </w:tbl>
    <w:p>
      <w:pPr>
        <w:spacing w:line="360" w:lineRule="auto"/>
        <w:rPr>
          <w:rFonts w:hAnsi="宋体" w:cs="宋体"/>
          <w:b/>
          <w:sz w:val="24"/>
          <w:szCs w:val="24"/>
        </w:rPr>
      </w:pPr>
    </w:p>
    <w:p>
      <w:pPr>
        <w:numPr>
          <w:ilvl w:val="0"/>
          <w:numId w:val="5"/>
        </w:numPr>
        <w:spacing w:line="360" w:lineRule="auto"/>
        <w:rPr>
          <w:rFonts w:hAnsi="宋体" w:cs="宋体"/>
          <w:b/>
          <w:sz w:val="24"/>
          <w:szCs w:val="24"/>
        </w:rPr>
      </w:pPr>
      <w:r>
        <w:rPr>
          <w:rFonts w:hint="eastAsia" w:hAnsi="宋体" w:cs="宋体"/>
          <w:b/>
          <w:sz w:val="24"/>
          <w:szCs w:val="24"/>
        </w:rPr>
        <w:t>送货期和送货地点</w:t>
      </w:r>
    </w:p>
    <w:p>
      <w:pPr>
        <w:numPr>
          <w:ilvl w:val="0"/>
          <w:numId w:val="6"/>
        </w:numPr>
        <w:spacing w:line="360" w:lineRule="auto"/>
        <w:rPr>
          <w:rFonts w:hAnsi="宋体" w:cs="宋体"/>
          <w:sz w:val="24"/>
          <w:szCs w:val="24"/>
        </w:rPr>
      </w:pPr>
      <w:r>
        <w:rPr>
          <w:rFonts w:hint="eastAsia" w:hAnsi="宋体" w:cs="宋体"/>
          <w:sz w:val="24"/>
          <w:szCs w:val="24"/>
        </w:rPr>
        <w:t>送货期：乙方在接到甲方所下订单（不论数量多少）后，</w:t>
      </w:r>
      <w:r>
        <w:rPr>
          <w:rFonts w:hint="eastAsia" w:hAnsi="宋体" w:cs="宋体"/>
          <w:sz w:val="24"/>
          <w:szCs w:val="24"/>
          <w:lang w:val="en-US" w:eastAsia="zh-CN"/>
        </w:rPr>
        <w:t>二</w:t>
      </w:r>
      <w:r>
        <w:rPr>
          <w:rFonts w:hint="eastAsia" w:hAnsi="宋体" w:cs="宋体"/>
          <w:sz w:val="24"/>
          <w:szCs w:val="24"/>
        </w:rPr>
        <w:t>天内应及时将订单内容送达指定地点，若有特殊情况需协商解决。</w:t>
      </w:r>
    </w:p>
    <w:p>
      <w:pPr>
        <w:numPr>
          <w:ilvl w:val="0"/>
          <w:numId w:val="6"/>
        </w:numPr>
        <w:tabs>
          <w:tab w:val="left" w:pos="720"/>
        </w:tabs>
        <w:spacing w:line="360" w:lineRule="auto"/>
        <w:rPr>
          <w:rFonts w:hAnsi="宋体" w:cs="宋体"/>
          <w:b/>
          <w:sz w:val="24"/>
          <w:szCs w:val="24"/>
        </w:rPr>
      </w:pPr>
      <w:r>
        <w:rPr>
          <w:rFonts w:hint="eastAsia" w:hAnsi="宋体" w:cs="宋体"/>
          <w:sz w:val="24"/>
          <w:szCs w:val="24"/>
        </w:rPr>
        <w:t>送货地点：</w:t>
      </w:r>
      <w:r>
        <w:rPr>
          <w:rFonts w:hint="eastAsia" w:hAnsi="宋体" w:cs="宋体"/>
          <w:sz w:val="24"/>
          <w:szCs w:val="24"/>
          <w:u w:val="single"/>
        </w:rPr>
        <w:t xml:space="preserve"> 城隽雅苑北区营销中心 </w:t>
      </w:r>
    </w:p>
    <w:p>
      <w:pPr>
        <w:numPr>
          <w:ilvl w:val="0"/>
          <w:numId w:val="6"/>
        </w:numPr>
        <w:tabs>
          <w:tab w:val="left" w:pos="720"/>
        </w:tabs>
        <w:spacing w:line="360" w:lineRule="auto"/>
        <w:rPr>
          <w:rFonts w:hAnsi="宋体" w:cs="宋体"/>
          <w:b/>
          <w:sz w:val="24"/>
          <w:szCs w:val="24"/>
        </w:rPr>
      </w:pPr>
      <w:r>
        <w:rPr>
          <w:rFonts w:hint="eastAsia" w:hAnsi="宋体" w:cs="宋体"/>
          <w:b/>
          <w:sz w:val="24"/>
          <w:szCs w:val="24"/>
        </w:rPr>
        <w:t>付款方式和结算：</w:t>
      </w:r>
    </w:p>
    <w:p>
      <w:pPr>
        <w:numPr>
          <w:ilvl w:val="0"/>
          <w:numId w:val="7"/>
        </w:numPr>
        <w:spacing w:line="360" w:lineRule="auto"/>
        <w:rPr>
          <w:rFonts w:hAnsi="宋体" w:cs="宋体"/>
          <w:sz w:val="24"/>
          <w:szCs w:val="24"/>
        </w:rPr>
      </w:pPr>
      <w:r>
        <w:rPr>
          <w:rFonts w:hint="eastAsia" w:hAnsi="宋体" w:cs="宋体"/>
          <w:sz w:val="24"/>
          <w:szCs w:val="24"/>
        </w:rPr>
        <w:t>以人民币结算。</w:t>
      </w:r>
    </w:p>
    <w:p>
      <w:pPr>
        <w:numPr>
          <w:ilvl w:val="0"/>
          <w:numId w:val="7"/>
        </w:numPr>
        <w:spacing w:line="360" w:lineRule="auto"/>
        <w:rPr>
          <w:rFonts w:hAnsi="宋体" w:cs="宋体"/>
          <w:sz w:val="24"/>
          <w:szCs w:val="24"/>
        </w:rPr>
      </w:pPr>
      <w:r>
        <w:rPr>
          <w:rFonts w:hint="eastAsia" w:hAnsi="宋体" w:cs="宋体"/>
          <w:sz w:val="24"/>
          <w:szCs w:val="24"/>
        </w:rPr>
        <w:t>甲乙双方同意上述物料采购项目的价格有效期为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 xml:space="preserve">月  </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numPr>
          <w:ilvl w:val="0"/>
          <w:numId w:val="7"/>
        </w:numPr>
        <w:spacing w:line="360" w:lineRule="auto"/>
        <w:rPr>
          <w:rFonts w:hAnsi="宋体" w:cs="宋体"/>
          <w:sz w:val="24"/>
          <w:szCs w:val="24"/>
        </w:rPr>
      </w:pPr>
      <w:r>
        <w:rPr>
          <w:rFonts w:hint="eastAsia" w:hAnsi="宋体" w:cs="宋体"/>
          <w:sz w:val="24"/>
          <w:szCs w:val="24"/>
        </w:rPr>
        <w:t>以上报价已含税费、运费、包装费并卸货到甲方指定位置的所有费用。乙方需在结算前七个工作日提供有效的增值税专用发票，如发票无效，甲方有权不支付货款，不承担任何责任，并有权追究乙方相关责任。</w:t>
      </w:r>
    </w:p>
    <w:p>
      <w:pPr>
        <w:numPr>
          <w:ilvl w:val="0"/>
          <w:numId w:val="7"/>
        </w:numPr>
        <w:spacing w:line="360" w:lineRule="auto"/>
        <w:rPr>
          <w:rFonts w:hAnsi="宋体" w:cs="宋体"/>
          <w:sz w:val="24"/>
          <w:szCs w:val="24"/>
        </w:rPr>
      </w:pPr>
      <w:r>
        <w:rPr>
          <w:rFonts w:hint="eastAsia" w:hAnsi="宋体" w:cs="宋体"/>
          <w:sz w:val="24"/>
          <w:szCs w:val="24"/>
        </w:rPr>
        <w:t>甲方向乙方定购货物付款方式：由甲方与乙方结算，并采用月度结算货款的方式。自合同签订起的每月26日前，乙方提供</w:t>
      </w:r>
      <w:r>
        <w:rPr>
          <w:rFonts w:hint="eastAsia" w:hAnsi="宋体" w:cs="宋体"/>
          <w:sz w:val="24"/>
          <w:szCs w:val="24"/>
          <w:lang w:val="en-US" w:eastAsia="zh-CN"/>
        </w:rPr>
        <w:t>验收</w:t>
      </w:r>
      <w:r>
        <w:rPr>
          <w:rFonts w:hint="eastAsia" w:hAnsi="宋体" w:cs="宋体"/>
          <w:sz w:val="24"/>
          <w:szCs w:val="24"/>
        </w:rPr>
        <w:t>对帐单给甲方，经核对无误后，通知乙方开具对应有效增值税专用发票并办理相关结算手续。</w:t>
      </w:r>
    </w:p>
    <w:p>
      <w:pPr>
        <w:numPr>
          <w:ilvl w:val="0"/>
          <w:numId w:val="7"/>
        </w:numPr>
        <w:spacing w:line="360" w:lineRule="auto"/>
        <w:rPr>
          <w:rFonts w:hAnsi="宋体" w:cs="宋体"/>
          <w:sz w:val="24"/>
          <w:szCs w:val="24"/>
        </w:rPr>
      </w:pPr>
      <w:r>
        <w:rPr>
          <w:rFonts w:hint="eastAsia" w:hAnsi="宋体" w:cs="宋体"/>
          <w:sz w:val="24"/>
          <w:szCs w:val="24"/>
        </w:rPr>
        <w:t>实际结算金额以甲方最终确认数量为准。</w:t>
      </w:r>
    </w:p>
    <w:p>
      <w:pPr>
        <w:numPr>
          <w:ilvl w:val="0"/>
          <w:numId w:val="5"/>
        </w:numPr>
        <w:spacing w:line="360" w:lineRule="auto"/>
        <w:rPr>
          <w:rFonts w:hAnsi="宋体" w:cs="宋体"/>
          <w:b/>
          <w:sz w:val="24"/>
          <w:szCs w:val="24"/>
        </w:rPr>
      </w:pPr>
      <w:r>
        <w:rPr>
          <w:rFonts w:hint="eastAsia" w:hAnsi="宋体" w:cs="宋体"/>
          <w:b/>
          <w:sz w:val="24"/>
          <w:szCs w:val="24"/>
        </w:rPr>
        <w:t>双方责任：</w:t>
      </w:r>
    </w:p>
    <w:p>
      <w:pPr>
        <w:numPr>
          <w:ilvl w:val="0"/>
          <w:numId w:val="8"/>
        </w:numPr>
        <w:spacing w:line="360" w:lineRule="auto"/>
        <w:rPr>
          <w:rFonts w:hAnsi="宋体" w:cs="宋体"/>
          <w:sz w:val="24"/>
          <w:szCs w:val="24"/>
        </w:rPr>
      </w:pPr>
      <w:r>
        <w:rPr>
          <w:rFonts w:hint="eastAsia" w:hAnsi="宋体" w:cs="宋体"/>
          <w:sz w:val="24"/>
          <w:szCs w:val="24"/>
        </w:rPr>
        <w:t xml:space="preserve">甲方责任： </w:t>
      </w:r>
    </w:p>
    <w:p>
      <w:pPr>
        <w:numPr>
          <w:ilvl w:val="1"/>
          <w:numId w:val="8"/>
        </w:numPr>
        <w:spacing w:line="360" w:lineRule="auto"/>
        <w:rPr>
          <w:rFonts w:hAnsi="宋体" w:cs="宋体"/>
          <w:sz w:val="24"/>
          <w:szCs w:val="24"/>
        </w:rPr>
      </w:pPr>
      <w:r>
        <w:rPr>
          <w:rFonts w:hint="eastAsia" w:hAnsi="宋体" w:cs="宋体"/>
          <w:sz w:val="24"/>
          <w:szCs w:val="24"/>
        </w:rPr>
        <w:t>甲方（在广州市范围内的）在采购附表所列相关物料时，采购方式可使用电话、网络或传真等。</w:t>
      </w:r>
    </w:p>
    <w:p>
      <w:pPr>
        <w:numPr>
          <w:ilvl w:val="1"/>
          <w:numId w:val="8"/>
        </w:numPr>
        <w:spacing w:line="360" w:lineRule="auto"/>
        <w:rPr>
          <w:rFonts w:hAnsi="宋体" w:cs="宋体"/>
          <w:sz w:val="24"/>
          <w:szCs w:val="24"/>
        </w:rPr>
      </w:pPr>
      <w:r>
        <w:rPr>
          <w:rFonts w:hint="eastAsia" w:hAnsi="宋体" w:cs="宋体"/>
          <w:sz w:val="24"/>
          <w:szCs w:val="24"/>
        </w:rPr>
        <w:t>协助乙方所订物料到货交接的相关工作。</w:t>
      </w:r>
    </w:p>
    <w:p>
      <w:pPr>
        <w:numPr>
          <w:ilvl w:val="1"/>
          <w:numId w:val="8"/>
        </w:numPr>
        <w:spacing w:line="360" w:lineRule="auto"/>
        <w:rPr>
          <w:rFonts w:hAnsi="宋体" w:cs="宋体"/>
          <w:sz w:val="24"/>
          <w:szCs w:val="24"/>
        </w:rPr>
      </w:pPr>
      <w:r>
        <w:rPr>
          <w:rFonts w:hint="eastAsia" w:hAnsi="宋体" w:cs="宋体"/>
          <w:sz w:val="24"/>
          <w:szCs w:val="24"/>
        </w:rPr>
        <w:t>按合同的约定支付款项。</w:t>
      </w:r>
    </w:p>
    <w:p>
      <w:pPr>
        <w:numPr>
          <w:ilvl w:val="0"/>
          <w:numId w:val="8"/>
        </w:numPr>
        <w:spacing w:line="360" w:lineRule="auto"/>
        <w:rPr>
          <w:rFonts w:hAnsi="宋体" w:cs="宋体"/>
          <w:sz w:val="24"/>
          <w:szCs w:val="24"/>
        </w:rPr>
      </w:pPr>
      <w:r>
        <w:rPr>
          <w:rFonts w:hint="eastAsia" w:hAnsi="宋体" w:cs="宋体"/>
          <w:sz w:val="24"/>
          <w:szCs w:val="24"/>
        </w:rPr>
        <w:t>乙方责任：</w:t>
      </w:r>
    </w:p>
    <w:p>
      <w:pPr>
        <w:numPr>
          <w:ilvl w:val="1"/>
          <w:numId w:val="8"/>
        </w:numPr>
        <w:spacing w:line="360" w:lineRule="auto"/>
        <w:rPr>
          <w:rFonts w:hAnsi="宋体" w:cs="宋体"/>
          <w:sz w:val="24"/>
          <w:szCs w:val="24"/>
        </w:rPr>
      </w:pPr>
      <w:r>
        <w:rPr>
          <w:rFonts w:hint="eastAsia" w:hAnsi="宋体" w:cs="宋体"/>
          <w:sz w:val="24"/>
          <w:szCs w:val="24"/>
        </w:rPr>
        <w:t>乙方派专人</w:t>
      </w:r>
      <w:r>
        <w:rPr>
          <w:rFonts w:hint="eastAsia" w:hAnsi="宋体" w:cs="宋体"/>
          <w:sz w:val="24"/>
          <w:szCs w:val="24"/>
          <w:u w:val="single"/>
        </w:rPr>
        <w:t xml:space="preserve">     </w:t>
      </w:r>
      <w:r>
        <w:rPr>
          <w:rFonts w:hint="eastAsia" w:hAnsi="宋体" w:cs="宋体"/>
          <w:sz w:val="24"/>
          <w:szCs w:val="24"/>
        </w:rPr>
        <w:t>为该项物料购置的负责人，负责与甲方进行沟通，解决该项目相关事宜。如合同履行期间，乙方更换该负责人的，必须书面通知甲方，否则由此带来的相关损失及法律责任由乙方负责，与甲方无关。</w:t>
      </w:r>
    </w:p>
    <w:p>
      <w:pPr>
        <w:numPr>
          <w:ilvl w:val="1"/>
          <w:numId w:val="8"/>
        </w:numPr>
        <w:spacing w:line="360" w:lineRule="auto"/>
        <w:rPr>
          <w:rFonts w:hAnsi="宋体" w:cs="宋体"/>
          <w:sz w:val="24"/>
          <w:szCs w:val="24"/>
        </w:rPr>
      </w:pPr>
      <w:r>
        <w:rPr>
          <w:rFonts w:hint="eastAsia" w:hAnsi="宋体" w:cs="宋体"/>
          <w:sz w:val="24"/>
          <w:szCs w:val="24"/>
        </w:rPr>
        <w:t>乙方到甲方进行卸货搬运时，必须服从甲方的协调，不能影响正常经营和办公。</w:t>
      </w:r>
    </w:p>
    <w:p>
      <w:pPr>
        <w:numPr>
          <w:ilvl w:val="1"/>
          <w:numId w:val="8"/>
        </w:numPr>
        <w:spacing w:line="360" w:lineRule="auto"/>
        <w:rPr>
          <w:rFonts w:hAnsi="宋体" w:cs="宋体"/>
          <w:sz w:val="24"/>
          <w:szCs w:val="24"/>
        </w:rPr>
      </w:pPr>
      <w:r>
        <w:rPr>
          <w:rFonts w:hint="eastAsia" w:hAnsi="宋体" w:cs="宋体"/>
          <w:sz w:val="24"/>
          <w:szCs w:val="24"/>
        </w:rPr>
        <w:t>乙方要文明安全工作，在运输、装卸货过程中产生的一切安全责任由乙方负全责，与甲方无关。</w:t>
      </w:r>
    </w:p>
    <w:p>
      <w:pPr>
        <w:numPr>
          <w:ilvl w:val="1"/>
          <w:numId w:val="8"/>
        </w:numPr>
        <w:spacing w:line="360" w:lineRule="auto"/>
        <w:rPr>
          <w:rFonts w:hAnsi="宋体" w:cs="宋体"/>
          <w:sz w:val="24"/>
          <w:szCs w:val="24"/>
        </w:rPr>
      </w:pPr>
      <w:r>
        <w:rPr>
          <w:rFonts w:hint="eastAsia" w:hAnsi="宋体" w:cs="宋体"/>
          <w:sz w:val="24"/>
          <w:szCs w:val="24"/>
        </w:rPr>
        <w:t>乙方提供给甲方的货物必须和投标样板的规格、工艺及质量一致不能改变，如乙方违约，甲方有权拒收，由此而产生的一切损失与甲方无关。</w:t>
      </w:r>
    </w:p>
    <w:p>
      <w:pPr>
        <w:numPr>
          <w:ilvl w:val="1"/>
          <w:numId w:val="8"/>
        </w:numPr>
        <w:spacing w:line="360" w:lineRule="auto"/>
        <w:rPr>
          <w:rFonts w:hAnsi="宋体" w:cs="宋体"/>
          <w:sz w:val="24"/>
          <w:szCs w:val="24"/>
        </w:rPr>
      </w:pPr>
      <w:r>
        <w:rPr>
          <w:rFonts w:hint="eastAsia" w:hAnsi="宋体" w:cs="宋体"/>
          <w:sz w:val="24"/>
          <w:szCs w:val="24"/>
        </w:rPr>
        <w:t>乙方供给的货物必须是合格全新产品，其质量符合国家质量标准和行业标准，且包装分类清晰。所有产品除用户或其它人等人为损坏及使用不当外，乙方提供免费</w:t>
      </w:r>
      <w:r>
        <w:rPr>
          <w:rFonts w:hint="eastAsia" w:hAnsi="宋体" w:cs="宋体"/>
          <w:sz w:val="24"/>
          <w:szCs w:val="24"/>
          <w:u w:val="single"/>
        </w:rPr>
        <w:t xml:space="preserve">   </w:t>
      </w:r>
      <w:r>
        <w:rPr>
          <w:rFonts w:hint="eastAsia" w:hAnsi="宋体" w:cs="宋体"/>
          <w:sz w:val="24"/>
          <w:szCs w:val="24"/>
        </w:rPr>
        <w:t>年的保用期。</w:t>
      </w:r>
    </w:p>
    <w:p>
      <w:pPr>
        <w:numPr>
          <w:ilvl w:val="1"/>
          <w:numId w:val="8"/>
        </w:numPr>
        <w:spacing w:line="360" w:lineRule="auto"/>
        <w:rPr>
          <w:rFonts w:hAnsi="宋体" w:cs="宋体"/>
          <w:sz w:val="24"/>
          <w:szCs w:val="24"/>
        </w:rPr>
      </w:pPr>
      <w:r>
        <w:rPr>
          <w:rFonts w:hint="eastAsia" w:hAnsi="宋体" w:cs="宋体"/>
          <w:sz w:val="24"/>
          <w:szCs w:val="24"/>
        </w:rPr>
        <w:t>乙方供给的产品如有特殊使用要求必须在甲方使用前以书面形式告知，否则出现使用质量问题和安全问题由乙方负责。</w:t>
      </w:r>
    </w:p>
    <w:p>
      <w:pPr>
        <w:numPr>
          <w:ilvl w:val="1"/>
          <w:numId w:val="8"/>
        </w:numPr>
        <w:spacing w:line="360" w:lineRule="auto"/>
        <w:rPr>
          <w:rFonts w:hAnsi="宋体" w:cs="宋体"/>
          <w:sz w:val="24"/>
          <w:szCs w:val="24"/>
        </w:rPr>
      </w:pPr>
      <w:r>
        <w:rPr>
          <w:rFonts w:hint="eastAsia" w:hAnsi="宋体" w:cs="宋体"/>
          <w:sz w:val="24"/>
          <w:szCs w:val="24"/>
        </w:rPr>
        <w:t>甲乙双方在货物交接时应当面清点货物，甲方在验收中如发现货物品种、规格、数量与本合同约定条件不符的，应拒绝收货并在验收当天提出异议和处理意见，乙方在接到通知后两日内无条件退换及承担相关责任和由此造成的甲方损失。</w:t>
      </w:r>
    </w:p>
    <w:p>
      <w:pPr>
        <w:numPr>
          <w:ilvl w:val="1"/>
          <w:numId w:val="8"/>
        </w:numPr>
        <w:spacing w:line="360" w:lineRule="auto"/>
        <w:rPr>
          <w:rFonts w:hAnsi="宋体" w:cs="宋体"/>
          <w:sz w:val="24"/>
          <w:szCs w:val="24"/>
        </w:rPr>
      </w:pPr>
      <w:r>
        <w:rPr>
          <w:rFonts w:hint="eastAsia" w:hAnsi="宋体" w:cs="宋体"/>
          <w:sz w:val="24"/>
          <w:szCs w:val="24"/>
        </w:rPr>
        <w:t>该产品如出现法律纠纷、劳资纠纷等问题由乙方负全责，与甲方无关。</w:t>
      </w:r>
    </w:p>
    <w:p>
      <w:pPr>
        <w:numPr>
          <w:ilvl w:val="1"/>
          <w:numId w:val="8"/>
        </w:numPr>
        <w:spacing w:line="360" w:lineRule="auto"/>
        <w:rPr>
          <w:rFonts w:hAnsi="宋体" w:cs="宋体"/>
          <w:sz w:val="24"/>
          <w:szCs w:val="24"/>
        </w:rPr>
      </w:pPr>
      <w:r>
        <w:rPr>
          <w:rFonts w:hint="eastAsia" w:hAnsi="宋体" w:cs="宋体"/>
          <w:sz w:val="24"/>
          <w:szCs w:val="24"/>
        </w:rPr>
        <w:t>售后服务：保质期内如果出现产品故障，甲方向乙方的投诉电话:</w:t>
      </w:r>
      <w:r>
        <w:rPr>
          <w:rFonts w:hint="eastAsia" w:hAnsi="宋体" w:cs="宋体"/>
          <w:sz w:val="24"/>
          <w:szCs w:val="24"/>
          <w:u w:val="single"/>
        </w:rPr>
        <w:t xml:space="preserve">               </w:t>
      </w:r>
      <w:r>
        <w:rPr>
          <w:rFonts w:hint="eastAsia" w:hAnsi="宋体" w:cs="宋体"/>
          <w:sz w:val="24"/>
          <w:szCs w:val="24"/>
        </w:rPr>
        <w:t>。乙方需24小时内（如遇节假日另行商议）安排人员上门服务解决相关事宜。</w:t>
      </w:r>
    </w:p>
    <w:p>
      <w:pPr>
        <w:numPr>
          <w:ilvl w:val="1"/>
          <w:numId w:val="8"/>
        </w:numPr>
        <w:spacing w:line="360" w:lineRule="auto"/>
        <w:rPr>
          <w:rFonts w:hAnsi="宋体" w:cs="宋体"/>
          <w:sz w:val="24"/>
          <w:szCs w:val="24"/>
        </w:rPr>
      </w:pPr>
      <w:r>
        <w:rPr>
          <w:rFonts w:hint="eastAsia" w:hAnsi="宋体" w:cs="宋体"/>
          <w:sz w:val="24"/>
          <w:szCs w:val="24"/>
        </w:rPr>
        <w:t>除本合同约定的货物清单外，甲方若需另外向乙方购置其他同品类货物时，乙方应本着实事求是的态度报价（优惠价格）以及提供货物，不弄虚作假，虚抬价格牟取暴利，一经发现，甲方有权终止合同，并取消下一轮的投标资格。</w:t>
      </w:r>
    </w:p>
    <w:p>
      <w:pPr>
        <w:numPr>
          <w:ilvl w:val="0"/>
          <w:numId w:val="5"/>
        </w:numPr>
        <w:spacing w:line="360" w:lineRule="auto"/>
        <w:rPr>
          <w:rFonts w:hAnsi="宋体" w:cs="宋体"/>
          <w:b/>
          <w:sz w:val="24"/>
          <w:szCs w:val="24"/>
        </w:rPr>
      </w:pPr>
      <w:r>
        <w:rPr>
          <w:rFonts w:hint="eastAsia" w:hAnsi="宋体" w:cs="宋体"/>
          <w:b/>
          <w:sz w:val="24"/>
          <w:szCs w:val="24"/>
        </w:rPr>
        <w:t>违约责任：</w:t>
      </w:r>
    </w:p>
    <w:p>
      <w:pPr>
        <w:numPr>
          <w:ilvl w:val="0"/>
          <w:numId w:val="9"/>
        </w:numPr>
        <w:tabs>
          <w:tab w:val="left" w:pos="720"/>
        </w:tabs>
        <w:spacing w:line="360" w:lineRule="auto"/>
        <w:rPr>
          <w:rFonts w:hAnsi="宋体" w:cs="宋体"/>
          <w:sz w:val="24"/>
          <w:szCs w:val="24"/>
        </w:rPr>
      </w:pPr>
      <w:r>
        <w:rPr>
          <w:rFonts w:hint="eastAsia" w:hAnsi="宋体" w:cs="宋体"/>
          <w:sz w:val="24"/>
          <w:szCs w:val="24"/>
        </w:rPr>
        <w:t>如乙方未能按合同规定的时间交货，每逾期一天，乙方需支付给甲方该次订单总额的1‰作为违约金。</w:t>
      </w:r>
    </w:p>
    <w:p>
      <w:pPr>
        <w:numPr>
          <w:ilvl w:val="0"/>
          <w:numId w:val="9"/>
        </w:numPr>
        <w:tabs>
          <w:tab w:val="left" w:pos="720"/>
        </w:tabs>
        <w:spacing w:line="360" w:lineRule="auto"/>
        <w:rPr>
          <w:rFonts w:hAnsi="宋体" w:cs="宋体"/>
          <w:sz w:val="24"/>
          <w:szCs w:val="24"/>
        </w:rPr>
      </w:pPr>
      <w:r>
        <w:rPr>
          <w:rFonts w:hint="eastAsia" w:hAnsi="宋体" w:cs="宋体"/>
          <w:sz w:val="24"/>
          <w:szCs w:val="24"/>
        </w:rPr>
        <w:t>乙方需按时供货，如超过三次以上不及时送货或出现质量问题，经甲方了解情况属实，甲方有权终止双方已签订的约定合同，履约保证金不予退回。</w:t>
      </w:r>
    </w:p>
    <w:p>
      <w:pPr>
        <w:numPr>
          <w:ilvl w:val="0"/>
          <w:numId w:val="9"/>
        </w:numPr>
        <w:tabs>
          <w:tab w:val="left" w:pos="720"/>
        </w:tabs>
        <w:spacing w:line="360" w:lineRule="auto"/>
        <w:rPr>
          <w:rFonts w:hAnsi="宋体" w:cs="宋体"/>
          <w:sz w:val="24"/>
          <w:szCs w:val="24"/>
        </w:rPr>
      </w:pPr>
      <w:r>
        <w:rPr>
          <w:rFonts w:hint="eastAsia" w:hAnsi="宋体" w:cs="宋体"/>
          <w:sz w:val="24"/>
          <w:szCs w:val="24"/>
        </w:rPr>
        <w:t xml:space="preserve">本合同签订地为 </w:t>
      </w:r>
      <w:r>
        <w:rPr>
          <w:rFonts w:hint="eastAsia" w:hAnsi="宋体" w:cs="宋体"/>
          <w:sz w:val="24"/>
          <w:szCs w:val="24"/>
          <w:u w:val="single"/>
        </w:rPr>
        <w:t xml:space="preserve"> 广州市  </w:t>
      </w:r>
      <w:r>
        <w:rPr>
          <w:rFonts w:hint="eastAsia" w:hAnsi="宋体" w:cs="宋体"/>
          <w:sz w:val="24"/>
          <w:szCs w:val="24"/>
        </w:rPr>
        <w:t>，在执行中如发生争议、纠纷，双方应进行协商，协商不成，提交甲方所在地人民法院诉讼解决。</w:t>
      </w:r>
    </w:p>
    <w:p>
      <w:pPr>
        <w:numPr>
          <w:ilvl w:val="0"/>
          <w:numId w:val="9"/>
        </w:numPr>
        <w:tabs>
          <w:tab w:val="left" w:pos="720"/>
        </w:tabs>
        <w:spacing w:line="360" w:lineRule="auto"/>
        <w:rPr>
          <w:rFonts w:hAnsi="宋体" w:cs="宋体"/>
          <w:sz w:val="24"/>
          <w:szCs w:val="24"/>
        </w:rPr>
      </w:pPr>
      <w:r>
        <w:rPr>
          <w:rFonts w:hint="eastAsia" w:hAnsi="宋体" w:cs="宋体"/>
          <w:sz w:val="24"/>
          <w:szCs w:val="24"/>
        </w:rPr>
        <w:t xml:space="preserve">乙方不能以不可抗力为由而延误交货，否则乙方要向甲方赔偿由此而造成的损失。  </w:t>
      </w:r>
    </w:p>
    <w:p>
      <w:pPr>
        <w:tabs>
          <w:tab w:val="left" w:pos="720"/>
        </w:tabs>
        <w:spacing w:line="360" w:lineRule="auto"/>
        <w:rPr>
          <w:rFonts w:hAnsi="宋体" w:cs="宋体"/>
          <w:b/>
          <w:sz w:val="24"/>
          <w:szCs w:val="24"/>
        </w:rPr>
      </w:pPr>
      <w:r>
        <w:rPr>
          <w:rFonts w:hint="eastAsia" w:hAnsi="宋体" w:cs="宋体"/>
          <w:b/>
          <w:sz w:val="24"/>
          <w:szCs w:val="24"/>
        </w:rPr>
        <w:t>六、  本合同壹式肆份，双方各执贰份，自双方代表签字盖章之日起生效并同时具有法律效力。</w:t>
      </w:r>
    </w:p>
    <w:p>
      <w:pPr>
        <w:tabs>
          <w:tab w:val="left" w:pos="720"/>
        </w:tabs>
        <w:spacing w:line="460" w:lineRule="exact"/>
        <w:rPr>
          <w:rFonts w:hAnsi="宋体" w:cs="宋体"/>
          <w:b/>
          <w:sz w:val="24"/>
          <w:szCs w:val="24"/>
        </w:rPr>
      </w:pPr>
    </w:p>
    <w:p>
      <w:pPr>
        <w:spacing w:line="460" w:lineRule="exact"/>
        <w:ind w:right="-525" w:rightChars="-250"/>
        <w:jc w:val="left"/>
        <w:rPr>
          <w:rFonts w:hAnsi="宋体" w:cs="宋体"/>
          <w:sz w:val="24"/>
          <w:szCs w:val="24"/>
        </w:rPr>
      </w:pPr>
      <w:r>
        <w:rPr>
          <w:rFonts w:hint="eastAsia" w:hAnsi="宋体" w:cs="宋体"/>
          <w:sz w:val="24"/>
          <w:szCs w:val="24"/>
        </w:rPr>
        <w:t xml:space="preserve">甲方名称：                           乙方名称： </w:t>
      </w:r>
    </w:p>
    <w:p>
      <w:pPr>
        <w:spacing w:line="460" w:lineRule="exact"/>
        <w:ind w:left="1333" w:leftChars="67" w:right="-525" w:rightChars="-250" w:hanging="1192" w:hangingChars="497"/>
        <w:jc w:val="left"/>
        <w:rPr>
          <w:rFonts w:hAnsi="宋体" w:cs="宋体"/>
          <w:sz w:val="24"/>
          <w:szCs w:val="24"/>
        </w:rPr>
      </w:pPr>
      <w:r>
        <w:rPr>
          <w:rFonts w:hint="eastAsia" w:hAnsi="宋体" w:cs="宋体"/>
          <w:sz w:val="24"/>
          <w:szCs w:val="24"/>
        </w:rPr>
        <w:t xml:space="preserve">                                      </w:t>
      </w:r>
    </w:p>
    <w:p>
      <w:pPr>
        <w:spacing w:line="460" w:lineRule="exact"/>
        <w:ind w:left="-283" w:leftChars="-135" w:right="-525" w:rightChars="-250" w:firstLine="360" w:firstLineChars="150"/>
        <w:jc w:val="left"/>
        <w:rPr>
          <w:rFonts w:hAnsi="宋体" w:cs="宋体"/>
          <w:sz w:val="24"/>
          <w:szCs w:val="24"/>
        </w:rPr>
      </w:pPr>
      <w:r>
        <w:rPr>
          <w:rFonts w:hint="eastAsia" w:hAnsi="宋体" w:cs="宋体"/>
          <w:sz w:val="24"/>
          <w:szCs w:val="24"/>
        </w:rPr>
        <w:t>盖章：                                 盖章：</w:t>
      </w:r>
    </w:p>
    <w:p>
      <w:pPr>
        <w:spacing w:line="460" w:lineRule="exact"/>
        <w:ind w:left="-283" w:leftChars="-135" w:right="-525" w:rightChars="-250"/>
        <w:rPr>
          <w:rFonts w:hAnsi="宋体" w:cs="宋体"/>
          <w:sz w:val="24"/>
          <w:szCs w:val="24"/>
        </w:rPr>
      </w:pPr>
      <w:r>
        <w:rPr>
          <w:rFonts w:hint="eastAsia" w:hAnsi="宋体" w:cs="宋体"/>
          <w:sz w:val="24"/>
          <w:szCs w:val="24"/>
        </w:rPr>
        <w:t xml:space="preserve">   签约代表：                             签约代表：</w:t>
      </w:r>
    </w:p>
    <w:p>
      <w:pPr>
        <w:spacing w:line="460" w:lineRule="exact"/>
        <w:ind w:left="-283" w:leftChars="-135" w:right="-525" w:rightChars="-250" w:firstLine="240" w:firstLineChars="100"/>
        <w:rPr>
          <w:rFonts w:hAnsi="宋体" w:cs="宋体"/>
          <w:sz w:val="24"/>
          <w:szCs w:val="24"/>
        </w:rPr>
      </w:pPr>
      <w:r>
        <w:rPr>
          <w:rFonts w:hint="eastAsia" w:hAnsi="宋体" w:cs="宋体"/>
          <w:sz w:val="24"/>
          <w:szCs w:val="24"/>
        </w:rPr>
        <w:t>年     月     日                        年    月     日</w:t>
      </w:r>
    </w:p>
    <w:p/>
    <w:p/>
    <w:p/>
    <w:p>
      <w:pPr>
        <w:tabs>
          <w:tab w:val="left" w:pos="6564"/>
        </w:tabs>
        <w:spacing w:line="360" w:lineRule="auto"/>
        <w:textAlignment w:val="top"/>
        <w:rPr>
          <w:rFonts w:hint="eastAsia" w:ascii="仿宋_GB2312" w:hAnsi="宋体" w:eastAsia="仿宋_GB2312" w:cs="宋体"/>
          <w:b/>
          <w:bCs/>
          <w:sz w:val="36"/>
          <w:szCs w:val="36"/>
        </w:rPr>
      </w:pP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城隽雅苑北区办公</w:t>
      </w:r>
      <w:r>
        <w:rPr>
          <w:rFonts w:hint="eastAsia" w:ascii="仿宋_GB2312" w:hAnsi="Calibri" w:eastAsia="仿宋_GB2312" w:cs="Times New Roman"/>
          <w:b/>
          <w:sz w:val="52"/>
          <w:szCs w:val="52"/>
          <w:u w:val="single"/>
          <w:lang w:val="en-US" w:eastAsia="zh-CN"/>
        </w:rPr>
        <w:t>物资</w:t>
      </w:r>
      <w:r>
        <w:rPr>
          <w:rFonts w:hint="eastAsia" w:ascii="仿宋_GB2312" w:hAnsi="Calibri" w:eastAsia="仿宋_GB2312" w:cs="Times New Roman"/>
          <w:b/>
          <w:sz w:val="52"/>
          <w:szCs w:val="52"/>
          <w:u w:val="single"/>
        </w:rPr>
        <w:t>采购</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服务项目</w:t>
      </w: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    年   月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广州市城壹房地产顾问有限公司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10"/>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14"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5" w:name="_Toc334797769"/>
      <w:r>
        <w:rPr>
          <w:rFonts w:hint="eastAsia" w:ascii="仿宋_GB2312" w:hAnsi="Arial" w:eastAsia="仿宋_GB2312" w:cs="Times New Roman"/>
          <w:bCs/>
          <w:sz w:val="24"/>
          <w:szCs w:val="24"/>
        </w:rPr>
        <w:t>附件3</w:t>
      </w:r>
    </w:p>
    <w:bookmarkEnd w:id="14"/>
    <w:bookmarkEnd w:id="15"/>
    <w:p>
      <w:pPr>
        <w:keepNext/>
        <w:keepLines/>
        <w:spacing w:before="260" w:after="260" w:line="400" w:lineRule="exact"/>
        <w:jc w:val="center"/>
        <w:outlineLvl w:val="1"/>
        <w:rPr>
          <w:rFonts w:ascii="仿宋_GB2312" w:hAnsi="宋体" w:eastAsia="仿宋_GB2312" w:cs="宋体"/>
          <w:sz w:val="32"/>
          <w:szCs w:val="32"/>
        </w:rPr>
      </w:pPr>
      <w:bookmarkStart w:id="16" w:name="_Toc334797770"/>
      <w:bookmarkStart w:id="17"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szCs w:val="24"/>
        </w:rPr>
        <w:t>广州市城壹房地产顾问有限公司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6"/>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w:t>
            </w:r>
            <w:r>
              <w:rPr>
                <w:rFonts w:hint="eastAsia" w:ascii="Calibri" w:hAnsi="Calibri" w:eastAsia="宋体" w:cs="Times New Roman"/>
                <w:szCs w:val="24"/>
                <w:lang w:val="en-US" w:eastAsia="zh-CN"/>
              </w:rPr>
              <w:t>13</w:t>
            </w:r>
            <w:r>
              <w:rPr>
                <w:rFonts w:hint="eastAsia" w:ascii="Calibri" w:hAnsi="Calibri" w:eastAsia="宋体" w:cs="Times New Roman"/>
                <w:szCs w:val="24"/>
              </w:rPr>
              <w:t>%）</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7"/>
    <w:p>
      <w:pPr>
        <w:keepNext/>
        <w:keepLines/>
        <w:spacing w:before="260" w:after="260" w:line="400" w:lineRule="exact"/>
        <w:outlineLvl w:val="1"/>
        <w:rPr>
          <w:rFonts w:ascii="仿宋_GB2312" w:hAnsi="Arial" w:eastAsia="仿宋_GB2312" w:cs="Times New Roman"/>
          <w:b/>
          <w:bCs/>
          <w:sz w:val="32"/>
          <w:szCs w:val="32"/>
        </w:rPr>
      </w:pPr>
      <w:bookmarkStart w:id="18" w:name="_Toc334797774"/>
      <w:r>
        <w:rPr>
          <w:rFonts w:ascii="仿宋_GB2312" w:hAnsi="Arial" w:eastAsia="仿宋_GB2312" w:cs="Times New Roman"/>
          <w:b/>
          <w:bCs/>
          <w:sz w:val="32"/>
          <w:szCs w:val="32"/>
        </w:rPr>
        <w:br w:type="page"/>
      </w:r>
      <w:bookmarkEnd w:id="18"/>
    </w:p>
    <w:p>
      <w:pPr>
        <w:keepNext/>
        <w:keepLines/>
        <w:spacing w:before="260" w:after="260" w:line="400" w:lineRule="exact"/>
        <w:outlineLvl w:val="1"/>
        <w:rPr>
          <w:rFonts w:ascii="仿宋_GB2312" w:hAnsi="Arial" w:eastAsia="仿宋_GB2312" w:cs="Times New Roman"/>
          <w:bCs/>
          <w:sz w:val="24"/>
          <w:szCs w:val="24"/>
        </w:rPr>
      </w:pPr>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Arial" w:eastAsia="仿宋_GB2312" w:cs="Times New Roman"/>
          <w:b/>
          <w:bCs/>
          <w:sz w:val="32"/>
          <w:szCs w:val="32"/>
        </w:rPr>
      </w:pPr>
      <w:r>
        <w:rPr>
          <w:rFonts w:hint="eastAsia" w:ascii="仿宋_GB2312" w:hAnsi="宋体" w:eastAsia="仿宋_GB2312" w:cs="宋体"/>
          <w:b/>
          <w:bCs/>
          <w:sz w:val="32"/>
          <w:szCs w:val="32"/>
        </w:rPr>
        <w:t>竞投报价执行清单</w:t>
      </w:r>
    </w:p>
    <w:tbl>
      <w:tblPr>
        <w:tblStyle w:val="5"/>
        <w:tblW w:w="10632" w:type="dxa"/>
        <w:tblInd w:w="-1026" w:type="dxa"/>
        <w:tblLayout w:type="fixed"/>
        <w:tblCellMar>
          <w:top w:w="0" w:type="dxa"/>
          <w:left w:w="108" w:type="dxa"/>
          <w:bottom w:w="0" w:type="dxa"/>
          <w:right w:w="108" w:type="dxa"/>
        </w:tblCellMar>
      </w:tblPr>
      <w:tblGrid>
        <w:gridCol w:w="1134"/>
        <w:gridCol w:w="2127"/>
        <w:gridCol w:w="2420"/>
        <w:gridCol w:w="1265"/>
        <w:gridCol w:w="1276"/>
        <w:gridCol w:w="1134"/>
        <w:gridCol w:w="1276"/>
      </w:tblGrid>
      <w:tr>
        <w:tblPrEx>
          <w:tblCellMar>
            <w:top w:w="0" w:type="dxa"/>
            <w:left w:w="108" w:type="dxa"/>
            <w:bottom w:w="0" w:type="dxa"/>
            <w:right w:w="108" w:type="dxa"/>
          </w:tblCellMar>
        </w:tblPrEx>
        <w:trPr>
          <w:trHeight w:val="618" w:hRule="atLeast"/>
        </w:trPr>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b/>
                <w:sz w:val="24"/>
                <w:szCs w:val="24"/>
              </w:rPr>
            </w:pPr>
            <w:r>
              <w:rPr>
                <w:rFonts w:hint="eastAsia" w:hAnsi="宋体" w:cs="宋体"/>
                <w:b/>
                <w:sz w:val="24"/>
                <w:szCs w:val="24"/>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品名</w:t>
            </w:r>
          </w:p>
        </w:tc>
        <w:tc>
          <w:tcPr>
            <w:tcW w:w="24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品牌/型号/规格</w:t>
            </w:r>
          </w:p>
        </w:tc>
        <w:tc>
          <w:tcPr>
            <w:tcW w:w="126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单位</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Ansi="宋体" w:cs="宋体"/>
                <w:b/>
                <w:sz w:val="24"/>
                <w:szCs w:val="24"/>
              </w:rPr>
            </w:pPr>
            <w:r>
              <w:rPr>
                <w:rFonts w:hint="eastAsia" w:hAnsi="宋体" w:cs="宋体"/>
                <w:b/>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sz w:val="24"/>
                <w:szCs w:val="24"/>
              </w:rPr>
            </w:pPr>
            <w:r>
              <w:rPr>
                <w:rFonts w:hint="eastAsia" w:hAnsi="宋体" w:cs="宋体"/>
                <w:b/>
                <w:sz w:val="24"/>
                <w:szCs w:val="24"/>
              </w:rPr>
              <w:t>总价</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西部数据(WD) NVMe 移动固态硬盘</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2TB  </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闪迪USB3.2固态 U盘 </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128G  </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长尾夹</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得力彩色32MM </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长尾夹 </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得力彩色41MM </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得力1.2小双面胶 </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30434</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得力125ml高粘度液体胶 </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7303</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7</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3M 报事贴 经典系列</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654N</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本</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8</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斑马大双头记号笔黑色</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MO-150</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9</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惠斯特激光笔红光远射镭射笔</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红光H5R</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得力回形针</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18</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得力剪刀</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6034</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得力美工刀</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DL003</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把</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得力透明封箱胶带60mm*100Y</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30369</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得力透明胶带24mm</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30131</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创易夹板文件夹</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CY0339 A4</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得力文件盒</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33509</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17</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得力带线办公台笔</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6793</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18</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公牛10m/10位排插</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GN218</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19</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金霸王电池40粒/盒</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7#</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金霸王电池40粒/盒</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盒</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齐心拉杆文件夹</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A4</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文件袋</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创易 CY5680</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 GLOSEN药箱（含25件药品）</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 xml:space="preserve">  8263AAA</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24</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戴尔3090SFF商用台式电脑</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CPU：I3-10505 内存：8G 硬盘：256G 硬盘：1T 独立显卡2G 显示器：23.8英寸 P2422H</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戴尔商用显示器</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P2422 23.8英寸</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戴尔成就5620笔记本电脑</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CPU：12代I5-1240P 内存：16G 硬盘1：512G  屏幕：MX570独显16英寸</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27</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保险柜</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虎牌保险柜 60cm酷睿黑（指纹密码款）3层空间</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等线" w:hAnsi="等线" w:eastAsia="等线" w:cs="宋体"/>
                <w:color w:val="000000"/>
                <w:sz w:val="22"/>
              </w:rPr>
            </w:pPr>
            <w:r>
              <w:rPr>
                <w:rFonts w:hint="eastAsia" w:ascii="等线" w:hAnsi="等线" w:eastAsia="等线" w:cs="宋体"/>
                <w:color w:val="000000"/>
                <w:kern w:val="0"/>
                <w:sz w:val="22"/>
              </w:rPr>
              <w:t>28</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电视机</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华为智慧屏SE55超薄全面屏电视机 55寸</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Ansi="宋体" w:cs="宋体"/>
                <w:sz w:val="24"/>
                <w:szCs w:val="24"/>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szCs w:val="24"/>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rPr>
              <w:t>2</w:t>
            </w:r>
            <w:r>
              <w:rPr>
                <w:rFonts w:hint="eastAsia" w:ascii="等线" w:hAnsi="等线" w:eastAsia="等线" w:cs="宋体"/>
                <w:color w:val="000000"/>
                <w:kern w:val="0"/>
                <w:sz w:val="22"/>
                <w:lang w:val="en-US" w:eastAsia="zh-CN"/>
              </w:rPr>
              <w:t>9</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NB P6电视挂架电视壁挂架电视支架</w:t>
            </w:r>
          </w:p>
        </w:tc>
        <w:tc>
          <w:tcPr>
            <w:tcW w:w="24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45-75英寸</w:t>
            </w: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套</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TP-link无线接收器</w:t>
            </w:r>
          </w:p>
        </w:tc>
        <w:tc>
          <w:tcPr>
            <w:tcW w:w="242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TP-link 8口千兆交换机</w:t>
            </w:r>
          </w:p>
        </w:tc>
        <w:tc>
          <w:tcPr>
            <w:tcW w:w="242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TP-link 24千兆口交换机</w:t>
            </w:r>
          </w:p>
        </w:tc>
        <w:tc>
          <w:tcPr>
            <w:tcW w:w="242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个</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r>
        <w:tblPrEx>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绿联六类网线 5米</w:t>
            </w:r>
          </w:p>
        </w:tc>
        <w:tc>
          <w:tcPr>
            <w:tcW w:w="242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等线" w:hAnsi="等线" w:eastAsia="等线" w:cs="宋体"/>
                <w:color w:val="000000"/>
                <w:kern w:val="0"/>
                <w:sz w:val="22"/>
              </w:rPr>
            </w:pPr>
          </w:p>
        </w:tc>
        <w:tc>
          <w:tcPr>
            <w:tcW w:w="126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条</w:t>
            </w:r>
          </w:p>
        </w:tc>
        <w:tc>
          <w:tcPr>
            <w:tcW w:w="127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等线" w:hAnsi="等线" w:eastAsia="等线" w:cs="宋体"/>
                <w:color w:val="000000"/>
                <w:kern w:val="0"/>
                <w:sz w:val="22"/>
              </w:rPr>
            </w:pPr>
            <w:r>
              <w:rPr>
                <w:rFonts w:hint="eastAsia" w:ascii="等线" w:hAnsi="等线" w:eastAsia="等线" w:cs="等线"/>
                <w:i w:val="0"/>
                <w:color w:val="000000"/>
                <w:kern w:val="0"/>
                <w:sz w:val="22"/>
                <w:szCs w:val="22"/>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等线" w:hAnsi="等线" w:eastAsia="等线" w:cs="宋体"/>
                <w:color w:val="000000"/>
                <w:kern w:val="0"/>
                <w:sz w:val="22"/>
              </w:rPr>
            </w:pPr>
          </w:p>
        </w:tc>
      </w:tr>
    </w:tbl>
    <w:p>
      <w:pPr>
        <w:widowControl/>
        <w:jc w:val="left"/>
        <w:rPr>
          <w:rFonts w:ascii="仿宋_GB2312" w:hAnsi="Arial" w:eastAsia="仿宋_GB2312" w:cs="Times New Roman"/>
          <w:b/>
          <w:bCs/>
          <w:sz w:val="32"/>
          <w:szCs w:val="32"/>
        </w:rPr>
      </w:pPr>
    </w:p>
    <w:p>
      <w:pPr>
        <w:keepNext/>
        <w:keepLines/>
        <w:spacing w:before="260" w:after="260" w:line="400" w:lineRule="exact"/>
        <w:outlineLvl w:val="1"/>
        <w:rPr>
          <w:rFonts w:ascii="仿宋_GB2312" w:hAnsi="Arial" w:eastAsia="仿宋_GB2312" w:cs="Times New Roman"/>
          <w:bCs/>
          <w:sz w:val="24"/>
          <w:szCs w:val="32"/>
        </w:rPr>
      </w:pP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广州市城壹房地产顾问有限公司：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竞投人名称: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rPr>
        <w:t>竞投人授权代表签字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附件7</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5"/>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rPr>
            </w:pPr>
            <w:r>
              <w:rPr>
                <w:rFonts w:hint="eastAsia" w:ascii="仿宋_GB2312" w:hAnsi="宋体" w:eastAsia="仿宋_GB2312" w:cs="Arial"/>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rPr>
          <w:rFonts w:ascii="Calibri" w:hAnsi="Calibri"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745C1"/>
    <w:multiLevelType w:val="multilevel"/>
    <w:tmpl w:val="066745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4A74F5"/>
    <w:multiLevelType w:val="singleLevel"/>
    <w:tmpl w:val="274A74F5"/>
    <w:lvl w:ilvl="0" w:tentative="0">
      <w:start w:val="1"/>
      <w:numFmt w:val="decimal"/>
      <w:pStyle w:val="16"/>
      <w:lvlText w:val="（%1）"/>
      <w:lvlJc w:val="left"/>
      <w:pPr>
        <w:tabs>
          <w:tab w:val="left" w:pos="1254"/>
        </w:tabs>
        <w:ind w:left="1254" w:hanging="750"/>
      </w:pPr>
      <w:rPr>
        <w:rFonts w:hint="eastAsia"/>
      </w:rPr>
    </w:lvl>
  </w:abstractNum>
  <w:abstractNum w:abstractNumId="3">
    <w:nsid w:val="342E7FDD"/>
    <w:multiLevelType w:val="multilevel"/>
    <w:tmpl w:val="342E7FDD"/>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040042"/>
    <w:multiLevelType w:val="multilevel"/>
    <w:tmpl w:val="4F040042"/>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japaneseCounting"/>
      <w:lvlText w:val="（%3）"/>
      <w:lvlJc w:val="left"/>
      <w:pPr>
        <w:ind w:left="1695" w:hanging="855"/>
      </w:pPr>
      <w:rPr>
        <w:rFonts w:hint="default"/>
      </w:rPr>
    </w:lvl>
    <w:lvl w:ilvl="3" w:tentative="0">
      <w:start w:val="5"/>
      <w:numFmt w:val="japaneseCounting"/>
      <w:lvlText w:val="%4、"/>
      <w:lvlJc w:val="left"/>
      <w:pPr>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6">
    <w:nsid w:val="594B6C14"/>
    <w:multiLevelType w:val="multilevel"/>
    <w:tmpl w:val="594B6C14"/>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0115C1"/>
    <w:multiLevelType w:val="singleLevel"/>
    <w:tmpl w:val="620115C1"/>
    <w:lvl w:ilvl="0" w:tentative="0">
      <w:start w:val="1"/>
      <w:numFmt w:val="chineseCounting"/>
      <w:suff w:val="nothing"/>
      <w:lvlText w:val="%1、"/>
      <w:lvlJc w:val="left"/>
      <w:rPr>
        <w:rFonts w:hint="eastAsia"/>
      </w:rPr>
    </w:lvl>
  </w:abstractNum>
  <w:abstractNum w:abstractNumId="8">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FD2140"/>
    <w:multiLevelType w:val="multilevel"/>
    <w:tmpl w:val="6EFD2140"/>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8"/>
  </w:num>
  <w:num w:numId="4">
    <w:abstractNumId w:val="1"/>
  </w:num>
  <w:num w:numId="5">
    <w:abstractNumId w:val="3"/>
  </w:num>
  <w:num w:numId="6">
    <w:abstractNumId w:val="0"/>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TZhMzY5NmUyNDA4MDNhNTcwYzY0YTQ3OTNlYTMifQ=="/>
  </w:docVars>
  <w:rsids>
    <w:rsidRoot w:val="004B0266"/>
    <w:rsid w:val="000474CE"/>
    <w:rsid w:val="0005225C"/>
    <w:rsid w:val="00054D4A"/>
    <w:rsid w:val="00071127"/>
    <w:rsid w:val="00072B8B"/>
    <w:rsid w:val="00073CAB"/>
    <w:rsid w:val="00075AC8"/>
    <w:rsid w:val="00090B64"/>
    <w:rsid w:val="00092F23"/>
    <w:rsid w:val="000C284D"/>
    <w:rsid w:val="000C2BA8"/>
    <w:rsid w:val="000D07EB"/>
    <w:rsid w:val="000E59B3"/>
    <w:rsid w:val="00105989"/>
    <w:rsid w:val="001063F6"/>
    <w:rsid w:val="00176C5E"/>
    <w:rsid w:val="001B2730"/>
    <w:rsid w:val="001C369B"/>
    <w:rsid w:val="001D6241"/>
    <w:rsid w:val="001E2C49"/>
    <w:rsid w:val="00212CA8"/>
    <w:rsid w:val="002266A8"/>
    <w:rsid w:val="00226F09"/>
    <w:rsid w:val="00232DA4"/>
    <w:rsid w:val="00251C03"/>
    <w:rsid w:val="002726CD"/>
    <w:rsid w:val="002D034C"/>
    <w:rsid w:val="002F6C1C"/>
    <w:rsid w:val="00353A6F"/>
    <w:rsid w:val="003A489D"/>
    <w:rsid w:val="003E13E6"/>
    <w:rsid w:val="0040677F"/>
    <w:rsid w:val="00423BC7"/>
    <w:rsid w:val="00430A5B"/>
    <w:rsid w:val="0046262C"/>
    <w:rsid w:val="00462E18"/>
    <w:rsid w:val="0048686B"/>
    <w:rsid w:val="004B0266"/>
    <w:rsid w:val="004C66F4"/>
    <w:rsid w:val="004E09F2"/>
    <w:rsid w:val="00500C1E"/>
    <w:rsid w:val="0052062A"/>
    <w:rsid w:val="00537C75"/>
    <w:rsid w:val="00540B18"/>
    <w:rsid w:val="005420EE"/>
    <w:rsid w:val="00561560"/>
    <w:rsid w:val="00575168"/>
    <w:rsid w:val="00575972"/>
    <w:rsid w:val="00585427"/>
    <w:rsid w:val="005A6E56"/>
    <w:rsid w:val="005B1397"/>
    <w:rsid w:val="005B5C08"/>
    <w:rsid w:val="005B68BD"/>
    <w:rsid w:val="005C3FC1"/>
    <w:rsid w:val="005D6B2C"/>
    <w:rsid w:val="005E199C"/>
    <w:rsid w:val="005E6438"/>
    <w:rsid w:val="005F3868"/>
    <w:rsid w:val="00600FB1"/>
    <w:rsid w:val="00634F06"/>
    <w:rsid w:val="00643837"/>
    <w:rsid w:val="00687800"/>
    <w:rsid w:val="0069217A"/>
    <w:rsid w:val="006B0F4D"/>
    <w:rsid w:val="006D3C33"/>
    <w:rsid w:val="00700658"/>
    <w:rsid w:val="00704C85"/>
    <w:rsid w:val="00736B2F"/>
    <w:rsid w:val="007510F5"/>
    <w:rsid w:val="00753470"/>
    <w:rsid w:val="00795FE4"/>
    <w:rsid w:val="007C795D"/>
    <w:rsid w:val="007D16FF"/>
    <w:rsid w:val="007F72BB"/>
    <w:rsid w:val="00826882"/>
    <w:rsid w:val="00887454"/>
    <w:rsid w:val="0091645A"/>
    <w:rsid w:val="00920A74"/>
    <w:rsid w:val="00947109"/>
    <w:rsid w:val="009F1ABF"/>
    <w:rsid w:val="00A11584"/>
    <w:rsid w:val="00A4025C"/>
    <w:rsid w:val="00A50BE9"/>
    <w:rsid w:val="00A82AEC"/>
    <w:rsid w:val="00A9078E"/>
    <w:rsid w:val="00A9270A"/>
    <w:rsid w:val="00AA03D4"/>
    <w:rsid w:val="00AC61BE"/>
    <w:rsid w:val="00AD19E6"/>
    <w:rsid w:val="00AD3E34"/>
    <w:rsid w:val="00B17A45"/>
    <w:rsid w:val="00B17A54"/>
    <w:rsid w:val="00B30B93"/>
    <w:rsid w:val="00B31EC6"/>
    <w:rsid w:val="00B508A7"/>
    <w:rsid w:val="00B639AE"/>
    <w:rsid w:val="00B9444F"/>
    <w:rsid w:val="00BA44FB"/>
    <w:rsid w:val="00BB0BD3"/>
    <w:rsid w:val="00C069A9"/>
    <w:rsid w:val="00C26D52"/>
    <w:rsid w:val="00CA2B1C"/>
    <w:rsid w:val="00CC1C6A"/>
    <w:rsid w:val="00CC386F"/>
    <w:rsid w:val="00D36770"/>
    <w:rsid w:val="00D537E5"/>
    <w:rsid w:val="00D60607"/>
    <w:rsid w:val="00D9368A"/>
    <w:rsid w:val="00E664FD"/>
    <w:rsid w:val="00E7246E"/>
    <w:rsid w:val="00E803FE"/>
    <w:rsid w:val="00EB7F43"/>
    <w:rsid w:val="00EC10C3"/>
    <w:rsid w:val="00EC5DE1"/>
    <w:rsid w:val="00F0213D"/>
    <w:rsid w:val="00F27015"/>
    <w:rsid w:val="00F3070E"/>
    <w:rsid w:val="00F43663"/>
    <w:rsid w:val="00F4543B"/>
    <w:rsid w:val="00F46DFF"/>
    <w:rsid w:val="00F510BF"/>
    <w:rsid w:val="00FA27FB"/>
    <w:rsid w:val="00FB10B8"/>
    <w:rsid w:val="00FF5CFB"/>
    <w:rsid w:val="051A32F4"/>
    <w:rsid w:val="07616CE3"/>
    <w:rsid w:val="0BEA0362"/>
    <w:rsid w:val="0CDA5969"/>
    <w:rsid w:val="0EA915DA"/>
    <w:rsid w:val="0F17169F"/>
    <w:rsid w:val="166A4183"/>
    <w:rsid w:val="17001131"/>
    <w:rsid w:val="1939721B"/>
    <w:rsid w:val="1C091BDF"/>
    <w:rsid w:val="1DBE771B"/>
    <w:rsid w:val="232E6EC3"/>
    <w:rsid w:val="256C5817"/>
    <w:rsid w:val="25B120C1"/>
    <w:rsid w:val="25BE3CA0"/>
    <w:rsid w:val="25E84DC8"/>
    <w:rsid w:val="262922CC"/>
    <w:rsid w:val="26643555"/>
    <w:rsid w:val="282F2935"/>
    <w:rsid w:val="284C1971"/>
    <w:rsid w:val="28B153F6"/>
    <w:rsid w:val="291B3AC5"/>
    <w:rsid w:val="2A9F153F"/>
    <w:rsid w:val="32165BAA"/>
    <w:rsid w:val="34F3149D"/>
    <w:rsid w:val="36495606"/>
    <w:rsid w:val="37390197"/>
    <w:rsid w:val="3894225C"/>
    <w:rsid w:val="390D08A6"/>
    <w:rsid w:val="395F28FE"/>
    <w:rsid w:val="39EE74C0"/>
    <w:rsid w:val="3A972E22"/>
    <w:rsid w:val="3E9400F5"/>
    <w:rsid w:val="3F6F548D"/>
    <w:rsid w:val="3FBF6DBA"/>
    <w:rsid w:val="3FF91C51"/>
    <w:rsid w:val="415A4BCC"/>
    <w:rsid w:val="41D426C5"/>
    <w:rsid w:val="42F022FE"/>
    <w:rsid w:val="430269C4"/>
    <w:rsid w:val="43093278"/>
    <w:rsid w:val="445621F6"/>
    <w:rsid w:val="46006AB7"/>
    <w:rsid w:val="4BF57366"/>
    <w:rsid w:val="4C41689C"/>
    <w:rsid w:val="4FBA61C8"/>
    <w:rsid w:val="52BC0B2D"/>
    <w:rsid w:val="549A215E"/>
    <w:rsid w:val="57FA1292"/>
    <w:rsid w:val="59957A0E"/>
    <w:rsid w:val="5A327747"/>
    <w:rsid w:val="5C154191"/>
    <w:rsid w:val="5D1328DC"/>
    <w:rsid w:val="5D193A39"/>
    <w:rsid w:val="5D9D63E0"/>
    <w:rsid w:val="5ED14C60"/>
    <w:rsid w:val="5EEB573C"/>
    <w:rsid w:val="62C7688D"/>
    <w:rsid w:val="646B61B6"/>
    <w:rsid w:val="64757F1D"/>
    <w:rsid w:val="677C2FE9"/>
    <w:rsid w:val="6F6315DA"/>
    <w:rsid w:val="70063FF7"/>
    <w:rsid w:val="73677D09"/>
    <w:rsid w:val="74985085"/>
    <w:rsid w:val="75040F86"/>
    <w:rsid w:val="79B9046D"/>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imes New Roman" w:hAnsi="Times New Roman" w:eastAsia="宋体" w:cs="Times New Roman"/>
      <w:sz w:val="18"/>
      <w:szCs w:val="18"/>
    </w:rPr>
  </w:style>
  <w:style w:type="paragraph" w:styleId="3">
    <w:name w:val="footer"/>
    <w:basedOn w:val="1"/>
    <w:link w:val="9"/>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7">
    <w:name w:val="page number"/>
    <w:basedOn w:val="6"/>
    <w:qFormat/>
    <w:uiPriority w:val="0"/>
  </w:style>
  <w:style w:type="character" w:customStyle="1" w:styleId="8">
    <w:name w:val="页眉 字符"/>
    <w:basedOn w:val="6"/>
    <w:link w:val="4"/>
    <w:qFormat/>
    <w:uiPriority w:val="0"/>
    <w:rPr>
      <w:rFonts w:ascii="Times New Roman" w:hAnsi="Times New Roman" w:eastAsia="宋体" w:cs="Times New Roman"/>
      <w:sz w:val="18"/>
      <w:szCs w:val="20"/>
    </w:rPr>
  </w:style>
  <w:style w:type="character" w:customStyle="1" w:styleId="9">
    <w:name w:val="页脚 字符"/>
    <w:basedOn w:val="6"/>
    <w:link w:val="3"/>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font61"/>
    <w:qFormat/>
    <w:uiPriority w:val="0"/>
    <w:rPr>
      <w:rFonts w:hint="eastAsia" w:ascii="微软雅黑" w:hAnsi="微软雅黑" w:eastAsia="微软雅黑" w:cs="微软雅黑"/>
      <w:b/>
      <w:color w:val="000000"/>
      <w:sz w:val="20"/>
      <w:szCs w:val="20"/>
      <w:u w:val="none"/>
    </w:rPr>
  </w:style>
  <w:style w:type="character" w:customStyle="1" w:styleId="12">
    <w:name w:val="font21"/>
    <w:qFormat/>
    <w:uiPriority w:val="0"/>
    <w:rPr>
      <w:rFonts w:hint="eastAsia" w:ascii="微软雅黑" w:hAnsi="微软雅黑" w:eastAsia="微软雅黑" w:cs="微软雅黑"/>
      <w:b/>
      <w:color w:val="000000"/>
      <w:sz w:val="24"/>
      <w:szCs w:val="24"/>
      <w:u w:val="none"/>
    </w:rPr>
  </w:style>
  <w:style w:type="character" w:customStyle="1" w:styleId="13">
    <w:name w:val="font121"/>
    <w:qFormat/>
    <w:uiPriority w:val="0"/>
    <w:rPr>
      <w:rFonts w:hint="eastAsia" w:ascii="微软雅黑" w:hAnsi="微软雅黑" w:eastAsia="微软雅黑" w:cs="微软雅黑"/>
      <w:b/>
      <w:color w:val="000000"/>
      <w:sz w:val="20"/>
      <w:szCs w:val="20"/>
      <w:u w:val="none"/>
    </w:rPr>
  </w:style>
  <w:style w:type="character" w:customStyle="1" w:styleId="14">
    <w:name w:val="批注框文本 字符"/>
    <w:basedOn w:val="6"/>
    <w:link w:val="2"/>
    <w:semiHidden/>
    <w:qFormat/>
    <w:uiPriority w:val="99"/>
    <w:rPr>
      <w:rFonts w:ascii="Times New Roman" w:hAnsi="Times New Roman" w:eastAsia="宋体" w:cs="Times New Roman"/>
      <w:sz w:val="18"/>
      <w:szCs w:val="18"/>
    </w:rPr>
  </w:style>
  <w:style w:type="paragraph" w:styleId="15">
    <w:name w:val="List Paragraph"/>
    <w:basedOn w:val="1"/>
    <w:qFormat/>
    <w:uiPriority w:val="34"/>
    <w:pPr>
      <w:widowControl/>
      <w:ind w:firstLine="420" w:firstLineChars="200"/>
      <w:jc w:val="left"/>
    </w:pPr>
    <w:rPr>
      <w:rFonts w:ascii="宋体" w:hAnsi="宋体" w:cs="宋体"/>
      <w:kern w:val="0"/>
      <w:sz w:val="24"/>
    </w:rPr>
  </w:style>
  <w:style w:type="paragraph" w:customStyle="1" w:styleId="16">
    <w:name w:val="样式1"/>
    <w:basedOn w:val="1"/>
    <w:qFormat/>
    <w:uiPriority w:val="0"/>
    <w:pPr>
      <w:numPr>
        <w:ilvl w:val="0"/>
        <w:numId w:val="1"/>
      </w:numPr>
      <w:tabs>
        <w:tab w:val="left" w:pos="709"/>
        <w:tab w:val="clear" w:pos="1254"/>
      </w:tabs>
    </w:pPr>
    <w:rPr>
      <w:rFonts w:ascii="宋体" w:hAnsi="宋体"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25</Pages>
  <Words>9816</Words>
  <Characters>10551</Characters>
  <Lines>86</Lines>
  <Paragraphs>24</Paragraphs>
  <TotalTime>7</TotalTime>
  <ScaleCrop>false</ScaleCrop>
  <LinksUpToDate>false</LinksUpToDate>
  <CharactersWithSpaces>11577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陈思瑶</cp:lastModifiedBy>
  <dcterms:modified xsi:type="dcterms:W3CDTF">2022-09-26T02:04:08Z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E98DAA33BB85422790798A416B038C10</vt:lpwstr>
  </property>
</Properties>
</file>